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54" w:rsidRPr="00B34BF9" w:rsidRDefault="00101554" w:rsidP="00101554">
      <w:pPr>
        <w:autoSpaceDE w:val="0"/>
        <w:autoSpaceDN w:val="0"/>
        <w:adjustRightInd w:val="0"/>
        <w:jc w:val="both"/>
        <w:rPr>
          <w:rFonts w:ascii="Century" w:eastAsia="TimesNewRoman" w:hAnsi="Century"/>
          <w:b/>
          <w:sz w:val="22"/>
          <w:szCs w:val="22"/>
        </w:rPr>
      </w:pPr>
      <w:r w:rsidRPr="00B34BF9">
        <w:rPr>
          <w:rFonts w:ascii="Century" w:eastAsia="TimesNewRoman" w:hAnsi="Century"/>
          <w:b/>
          <w:sz w:val="22"/>
          <w:szCs w:val="22"/>
        </w:rPr>
        <w:t>МЯРКА 312 “ПОДКРЕПА ЗА СЪЗДАВАНЕ И РАЗВИТИЕ НА МИКРОПРЕДПРИЯТИЯ”</w:t>
      </w:r>
    </w:p>
    <w:p w:rsidR="00101554" w:rsidRPr="00B34BF9" w:rsidRDefault="00101554" w:rsidP="00101554">
      <w:pPr>
        <w:autoSpaceDE w:val="0"/>
        <w:autoSpaceDN w:val="0"/>
        <w:adjustRightInd w:val="0"/>
        <w:jc w:val="both"/>
        <w:rPr>
          <w:rFonts w:ascii="Century" w:eastAsia="TimesNewRoman" w:hAnsi="Century"/>
          <w:b/>
          <w:sz w:val="22"/>
          <w:szCs w:val="22"/>
        </w:rPr>
      </w:pPr>
    </w:p>
    <w:tbl>
      <w:tblPr>
        <w:tblW w:w="9136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2126"/>
      </w:tblGrid>
      <w:tr w:rsidR="00101554" w:rsidRPr="00B34BF9" w:rsidTr="00D62159">
        <w:trPr>
          <w:trHeight w:val="773"/>
          <w:jc w:val="center"/>
        </w:trPr>
        <w:tc>
          <w:tcPr>
            <w:tcW w:w="7010" w:type="dxa"/>
            <w:shd w:val="clear" w:color="auto" w:fill="D9D9D9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b/>
                <w:szCs w:val="22"/>
                <w:lang w:val="bg-BG"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  <w:lang w:val="bg-BG"/>
              </w:rPr>
              <w:t xml:space="preserve">КРИТЕРИИ ЗА ЕКСПЕРТНА/ТЕХНИЧЕСКА </w:t>
            </w:r>
            <w:r w:rsidRPr="00B34BF9">
              <w:rPr>
                <w:rFonts w:ascii="Century" w:hAnsi="Century"/>
                <w:b/>
                <w:sz w:val="22"/>
                <w:szCs w:val="22"/>
                <w:lang w:val="ru-RU"/>
              </w:rPr>
              <w:t xml:space="preserve">ОЦЕНКА </w:t>
            </w:r>
            <w:r w:rsidRPr="00B34BF9">
              <w:rPr>
                <w:rFonts w:ascii="Century" w:hAnsi="Century"/>
                <w:b/>
                <w:sz w:val="22"/>
                <w:szCs w:val="22"/>
                <w:lang w:val="bg-BG"/>
              </w:rPr>
              <w:t>НА ПРЕДЛОЖЕНИЯТА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>ТОЧКИ</w:t>
            </w:r>
          </w:p>
        </w:tc>
      </w:tr>
      <w:tr w:rsidR="00101554" w:rsidRPr="00B34BF9" w:rsidTr="00D62159">
        <w:trPr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left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1.Дейностите по проекта съответстват на целите,обхвата и условията на съответната мярка от СМР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bg-BG"/>
              </w:rPr>
              <w:t>да/не</w:t>
            </w:r>
          </w:p>
        </w:tc>
      </w:tr>
      <w:tr w:rsidR="00101554" w:rsidRPr="00B34BF9" w:rsidTr="00D62159">
        <w:trPr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left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2.Налице е ясно описание на дейностите в съответствие с целите на проекта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bg-BG"/>
              </w:rPr>
              <w:t>да/не</w:t>
            </w:r>
          </w:p>
        </w:tc>
      </w:tr>
      <w:tr w:rsidR="00101554" w:rsidRPr="00B34BF9" w:rsidTr="00D62159">
        <w:trPr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left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 xml:space="preserve">3.Проектното предложение отговаря на изискванията за </w:t>
            </w:r>
            <w:r w:rsidRPr="00B34BF9">
              <w:rPr>
                <w:rFonts w:ascii="Century" w:hAnsi="Century"/>
                <w:bCs/>
                <w:sz w:val="22"/>
                <w:szCs w:val="22"/>
                <w:lang w:val="ru-RU"/>
              </w:rPr>
              <w:t xml:space="preserve">допустимост на разходите, </w:t>
            </w: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посочени в Наредбата за съответната мярка от ПРСР и Насоките за кандидатстване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bg-BG"/>
              </w:rPr>
              <w:t>да/не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left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bg-BG"/>
              </w:rPr>
              <w:t xml:space="preserve">4.Разработеният бизнес план е реалистичен и отговаря на пазарната конюнктура и тенденции. 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bg-BG"/>
              </w:rPr>
              <w:t>да/не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left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5.Стойността на показателя ‘Нетна настояща стойност” е по голяма от О (</w:t>
            </w:r>
            <w:r w:rsidRPr="00B34BF9">
              <w:rPr>
                <w:rFonts w:ascii="Century" w:hAnsi="Century"/>
                <w:sz w:val="22"/>
                <w:szCs w:val="22"/>
                <w:lang w:val="en-US"/>
              </w:rPr>
              <w:t>NPV</w:t>
            </w: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&gt;0)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bg-BG"/>
              </w:rPr>
              <w:t>да/не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D62159">
            <w:pPr>
              <w:autoSpaceDE w:val="0"/>
              <w:autoSpaceDN w:val="0"/>
              <w:adjustRightInd w:val="0"/>
              <w:rPr>
                <w:rFonts w:ascii="Century" w:hAnsi="Century"/>
                <w:lang w:val="ru-RU"/>
              </w:rPr>
            </w:pPr>
            <w:r w:rsidRPr="00B34BF9">
              <w:rPr>
                <w:rFonts w:ascii="Century" w:hAnsi="Century"/>
                <w:sz w:val="22"/>
                <w:szCs w:val="22"/>
              </w:rPr>
              <w:t xml:space="preserve">6.Индексът на рентабилност </w:t>
            </w: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(</w:t>
            </w:r>
            <w:r w:rsidRPr="00B34BF9">
              <w:rPr>
                <w:rFonts w:ascii="Century" w:hAnsi="Century"/>
                <w:sz w:val="22"/>
                <w:szCs w:val="22"/>
                <w:lang w:val="en-US"/>
              </w:rPr>
              <w:t>PI</w:t>
            </w: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) има стойност по-голяма от 1. (</w:t>
            </w:r>
            <w:r w:rsidRPr="00B34BF9">
              <w:rPr>
                <w:rFonts w:ascii="Century" w:hAnsi="Century"/>
                <w:sz w:val="22"/>
                <w:szCs w:val="22"/>
                <w:lang w:val="en-US"/>
              </w:rPr>
              <w:t>PI</w:t>
            </w:r>
            <w:r w:rsidRPr="00B34BF9">
              <w:rPr>
                <w:rFonts w:ascii="Century" w:hAnsi="Century"/>
                <w:sz w:val="22"/>
                <w:szCs w:val="22"/>
                <w:lang w:val="ru-RU"/>
              </w:rPr>
              <w:t>&gt;1)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szCs w:val="22"/>
                <w:lang w:val="bg-BG"/>
              </w:rPr>
            </w:pPr>
            <w:r w:rsidRPr="00B34BF9">
              <w:rPr>
                <w:rFonts w:ascii="Century" w:hAnsi="Century"/>
                <w:sz w:val="22"/>
                <w:szCs w:val="22"/>
                <w:lang w:val="bg-BG"/>
              </w:rPr>
              <w:t>да/не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shd w:val="clear" w:color="auto" w:fill="D9D9D9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left"/>
              <w:rPr>
                <w:rFonts w:ascii="Century" w:hAnsi="Century"/>
                <w:b/>
                <w:szCs w:val="22"/>
                <w:lang w:val="bg-BG"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  <w:lang w:val="bg-BG"/>
              </w:rPr>
              <w:t xml:space="preserve">КРИТЕРИИ ЗА ИЗБОР НА ПРОЕКТИ </w:t>
            </w:r>
            <w:r w:rsidRPr="00B34BF9">
              <w:rPr>
                <w:rFonts w:ascii="Century" w:hAnsi="Century"/>
                <w:i/>
                <w:sz w:val="22"/>
                <w:szCs w:val="22"/>
                <w:lang w:val="bg-BG"/>
              </w:rPr>
              <w:t>(Извършва се за проектите с качествена оценка „ДА”)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01554" w:rsidRPr="00B34BF9" w:rsidRDefault="00101554" w:rsidP="00D62159">
            <w:pPr>
              <w:pStyle w:val="BodyText2"/>
              <w:spacing w:line="240" w:lineRule="auto"/>
              <w:jc w:val="center"/>
              <w:rPr>
                <w:rFonts w:ascii="Century" w:hAnsi="Century"/>
                <w:b/>
                <w:szCs w:val="22"/>
                <w:lang w:val="bg-BG"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  <w:lang w:val="bg-BG"/>
              </w:rPr>
              <w:t>100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B12951">
            <w:pPr>
              <w:tabs>
                <w:tab w:val="left" w:pos="-284"/>
                <w:tab w:val="left" w:pos="0"/>
              </w:tabs>
              <w:spacing w:beforeLines="60" w:before="144" w:afterLines="60" w:after="144" w:line="240" w:lineRule="exact"/>
              <w:rPr>
                <w:rFonts w:ascii="Century" w:hAnsi="Century"/>
              </w:rPr>
            </w:pPr>
            <w:r w:rsidRPr="00B34BF9">
              <w:rPr>
                <w:rFonts w:ascii="Century" w:hAnsi="Century"/>
                <w:sz w:val="22"/>
                <w:szCs w:val="22"/>
              </w:rPr>
              <w:t>1.Проектът предлага типични местни производства, които са значими за идентичността на района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>15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</w:tcPr>
          <w:p w:rsidR="00101554" w:rsidRPr="00B34BF9" w:rsidRDefault="00101554" w:rsidP="00B12951">
            <w:pPr>
              <w:spacing w:beforeLines="40" w:before="96" w:afterLines="40" w:after="96"/>
              <w:jc w:val="both"/>
              <w:rPr>
                <w:rFonts w:ascii="Century" w:hAnsi="Century"/>
              </w:rPr>
            </w:pPr>
            <w:r w:rsidRPr="00B34BF9">
              <w:rPr>
                <w:rFonts w:ascii="Century" w:hAnsi="Century"/>
                <w:sz w:val="22"/>
                <w:szCs w:val="22"/>
              </w:rPr>
              <w:t>2.Проектът осигурява заетост на млади хора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>15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B12951">
            <w:pPr>
              <w:tabs>
                <w:tab w:val="left" w:pos="356"/>
              </w:tabs>
              <w:spacing w:beforeLines="40" w:before="96" w:afterLines="40" w:after="96"/>
              <w:rPr>
                <w:rFonts w:ascii="Century" w:hAnsi="Century"/>
              </w:rPr>
            </w:pPr>
            <w:r w:rsidRPr="00B34BF9">
              <w:rPr>
                <w:rFonts w:ascii="Century" w:hAnsi="Century"/>
                <w:sz w:val="22"/>
                <w:szCs w:val="22"/>
              </w:rPr>
              <w:t>3.Проектът е на новосъздадено микропредприятие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12951">
              <w:rPr>
                <w:rFonts w:ascii="Century" w:hAnsi="Century"/>
                <w:b/>
                <w:sz w:val="22"/>
                <w:szCs w:val="22"/>
                <w:highlight w:val="yellow"/>
              </w:rPr>
              <w:t>10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B12951">
            <w:pPr>
              <w:tabs>
                <w:tab w:val="left" w:pos="-284"/>
                <w:tab w:val="left" w:pos="0"/>
              </w:tabs>
              <w:spacing w:beforeLines="60" w:before="144" w:afterLines="60" w:after="144" w:line="240" w:lineRule="exact"/>
              <w:rPr>
                <w:rFonts w:ascii="Century" w:hAnsi="Century"/>
              </w:rPr>
            </w:pPr>
            <w:r w:rsidRPr="00B34BF9">
              <w:rPr>
                <w:rFonts w:ascii="Century" w:hAnsi="Century"/>
                <w:sz w:val="22"/>
                <w:szCs w:val="22"/>
              </w:rPr>
              <w:t>4.Кандидатът не е получавал подкрепа от Общността за подобна инвестиция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>20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</w:tcPr>
          <w:p w:rsidR="00101554" w:rsidRPr="00B34BF9" w:rsidRDefault="00101554" w:rsidP="00B12951">
            <w:pPr>
              <w:spacing w:beforeLines="40" w:before="96" w:afterLines="40" w:after="96"/>
              <w:jc w:val="both"/>
              <w:rPr>
                <w:rFonts w:ascii="Century" w:hAnsi="Century"/>
              </w:rPr>
            </w:pPr>
            <w:r w:rsidRPr="00B34BF9">
              <w:rPr>
                <w:rFonts w:ascii="Century" w:hAnsi="Century"/>
                <w:sz w:val="22"/>
                <w:szCs w:val="22"/>
              </w:rPr>
              <w:t xml:space="preserve">5.Проектът е за интегриран туризъм 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>30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B12951">
            <w:pPr>
              <w:spacing w:beforeLines="40" w:before="96" w:afterLines="40" w:after="96"/>
              <w:rPr>
                <w:rFonts w:ascii="Century" w:hAnsi="Century"/>
              </w:rPr>
            </w:pPr>
            <w:r w:rsidRPr="00B34BF9">
              <w:rPr>
                <w:rFonts w:ascii="Century" w:hAnsi="Century"/>
                <w:sz w:val="22"/>
                <w:szCs w:val="22"/>
              </w:rPr>
              <w:t>6.Проектът е за ИКТ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>10</w:t>
            </w:r>
          </w:p>
        </w:tc>
      </w:tr>
      <w:tr w:rsidR="00101554" w:rsidRPr="00B34BF9" w:rsidTr="00D62159">
        <w:trPr>
          <w:trHeight w:val="709"/>
          <w:jc w:val="center"/>
        </w:trPr>
        <w:tc>
          <w:tcPr>
            <w:tcW w:w="7010" w:type="dxa"/>
            <w:vAlign w:val="center"/>
          </w:tcPr>
          <w:p w:rsidR="00101554" w:rsidRPr="00B34BF9" w:rsidRDefault="00101554" w:rsidP="00B12951">
            <w:pPr>
              <w:tabs>
                <w:tab w:val="left" w:pos="-284"/>
                <w:tab w:val="left" w:pos="0"/>
              </w:tabs>
              <w:spacing w:beforeLines="60" w:before="144" w:afterLines="60" w:after="144" w:line="240" w:lineRule="exact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 xml:space="preserve">ОБЩО </w:t>
            </w:r>
          </w:p>
        </w:tc>
        <w:tc>
          <w:tcPr>
            <w:tcW w:w="2126" w:type="dxa"/>
            <w:vAlign w:val="center"/>
          </w:tcPr>
          <w:p w:rsidR="00101554" w:rsidRPr="00B34BF9" w:rsidRDefault="00101554" w:rsidP="00D62159">
            <w:pPr>
              <w:spacing w:before="120"/>
              <w:jc w:val="center"/>
              <w:rPr>
                <w:rFonts w:ascii="Century" w:hAnsi="Century"/>
                <w:b/>
              </w:rPr>
            </w:pPr>
            <w:r w:rsidRPr="00B34BF9">
              <w:rPr>
                <w:rFonts w:ascii="Century" w:hAnsi="Century"/>
                <w:b/>
                <w:sz w:val="22"/>
                <w:szCs w:val="22"/>
              </w:rPr>
              <w:t>100</w:t>
            </w:r>
          </w:p>
        </w:tc>
      </w:tr>
    </w:tbl>
    <w:p w:rsidR="00E23306" w:rsidRDefault="00E23306"/>
    <w:sectPr w:rsidR="00E23306" w:rsidSect="00E2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554"/>
    <w:rsid w:val="00101554"/>
    <w:rsid w:val="009E23DE"/>
    <w:rsid w:val="00B12951"/>
    <w:rsid w:val="00E23306"/>
    <w:rsid w:val="00E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554"/>
    <w:pPr>
      <w:spacing w:after="120" w:line="480" w:lineRule="auto"/>
      <w:jc w:val="both"/>
    </w:pPr>
    <w:rPr>
      <w:rFonts w:eastAsia="Calibri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01554"/>
    <w:rPr>
      <w:rFonts w:ascii="Times New Roman" w:eastAsia="Calibri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 PRESPA1</cp:lastModifiedBy>
  <cp:revision>5</cp:revision>
  <dcterms:created xsi:type="dcterms:W3CDTF">2011-10-21T09:08:00Z</dcterms:created>
  <dcterms:modified xsi:type="dcterms:W3CDTF">2013-06-04T09:19:00Z</dcterms:modified>
</cp:coreProperties>
</file>