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6C" w:rsidRPr="00B34BF9" w:rsidRDefault="00CF276C" w:rsidP="00D346BB">
      <w:pPr>
        <w:autoSpaceDE w:val="0"/>
        <w:autoSpaceDN w:val="0"/>
        <w:adjustRightInd w:val="0"/>
        <w:jc w:val="center"/>
        <w:rPr>
          <w:rFonts w:ascii="Century" w:eastAsia="TimesNewRoman" w:hAnsi="Century"/>
          <w:b/>
          <w:sz w:val="22"/>
          <w:szCs w:val="22"/>
        </w:rPr>
      </w:pPr>
      <w:r w:rsidRPr="00B34BF9">
        <w:rPr>
          <w:rFonts w:ascii="Century" w:eastAsia="TimesNewRoman" w:hAnsi="Century"/>
          <w:b/>
          <w:sz w:val="22"/>
          <w:szCs w:val="22"/>
        </w:rPr>
        <w:t>МЯРКА 226 “ВЪЗСТАНОВЯВАНЕ НА ГОРСКИЯ ПОТЕНЦИАЛ И ВЪВЕЖДАНЕ НА ПРЕВАНТИВНИ ДЕЙНОСТИ”</w:t>
      </w:r>
    </w:p>
    <w:p w:rsidR="00CF276C" w:rsidRPr="00B34BF9" w:rsidRDefault="00CF276C" w:rsidP="00CF276C">
      <w:pPr>
        <w:autoSpaceDE w:val="0"/>
        <w:autoSpaceDN w:val="0"/>
        <w:adjustRightInd w:val="0"/>
        <w:jc w:val="both"/>
        <w:rPr>
          <w:rFonts w:ascii="Century" w:eastAsia="TimesNewRoman" w:hAnsi="Century"/>
          <w:b/>
          <w:sz w:val="22"/>
          <w:szCs w:val="22"/>
        </w:rPr>
      </w:pPr>
    </w:p>
    <w:tbl>
      <w:tblPr>
        <w:tblW w:w="9136" w:type="dxa"/>
        <w:jc w:val="center"/>
        <w:tblInd w:w="-1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10"/>
        <w:gridCol w:w="2126"/>
      </w:tblGrid>
      <w:tr w:rsidR="00CF276C" w:rsidRPr="00B34BF9" w:rsidTr="00C62C8F">
        <w:trPr>
          <w:trHeight w:val="773"/>
          <w:jc w:val="center"/>
        </w:trPr>
        <w:tc>
          <w:tcPr>
            <w:tcW w:w="7010" w:type="dxa"/>
            <w:shd w:val="clear" w:color="auto" w:fill="D9D9D9"/>
            <w:vAlign w:val="center"/>
          </w:tcPr>
          <w:p w:rsidR="00CF276C" w:rsidRPr="00B34BF9" w:rsidRDefault="00CF276C" w:rsidP="00C62C8F">
            <w:pPr>
              <w:pStyle w:val="2"/>
              <w:spacing w:line="240" w:lineRule="auto"/>
              <w:jc w:val="center"/>
              <w:rPr>
                <w:rFonts w:ascii="Century" w:hAnsi="Century"/>
                <w:b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 xml:space="preserve">КРИТЕРИИ ЗА ЕКСПЕРТНА/ТЕХНИЧЕСКА </w:t>
            </w:r>
            <w:r w:rsidRPr="00B34BF9">
              <w:rPr>
                <w:rFonts w:ascii="Century" w:hAnsi="Century"/>
                <w:b/>
                <w:sz w:val="22"/>
                <w:szCs w:val="22"/>
                <w:lang w:val="ru-RU"/>
              </w:rPr>
              <w:t xml:space="preserve">ОЦЕНКА </w:t>
            </w: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>НА ПРЕДЛОЖЕНИЯТА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CF276C" w:rsidRPr="00B34BF9" w:rsidRDefault="00CF276C" w:rsidP="00C62C8F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ТОЧКИ</w:t>
            </w:r>
          </w:p>
        </w:tc>
      </w:tr>
      <w:tr w:rsidR="00CF276C" w:rsidRPr="00B34BF9" w:rsidTr="00C62C8F">
        <w:trPr>
          <w:jc w:val="center"/>
        </w:trPr>
        <w:tc>
          <w:tcPr>
            <w:tcW w:w="7010" w:type="dxa"/>
            <w:vAlign w:val="center"/>
          </w:tcPr>
          <w:p w:rsidR="00CF276C" w:rsidRPr="00B34BF9" w:rsidRDefault="00CF276C" w:rsidP="00C62C8F">
            <w:pPr>
              <w:pStyle w:val="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1.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Дейностите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по проекта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съответстват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на обхвата и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условията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по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съответната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мярка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от </w:t>
            </w:r>
            <w:r w:rsidR="004F1911">
              <w:rPr>
                <w:rFonts w:ascii="Century" w:hAnsi="Century"/>
                <w:sz w:val="22"/>
                <w:szCs w:val="22"/>
                <w:lang w:val="ru-RU"/>
              </w:rPr>
              <w:t>СМР</w:t>
            </w:r>
          </w:p>
        </w:tc>
        <w:tc>
          <w:tcPr>
            <w:tcW w:w="2126" w:type="dxa"/>
            <w:vAlign w:val="center"/>
          </w:tcPr>
          <w:p w:rsidR="00CF276C" w:rsidRPr="00B34BF9" w:rsidRDefault="00CF276C" w:rsidP="00C62C8F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CF276C" w:rsidRPr="00B34BF9" w:rsidTr="00C62C8F">
        <w:trPr>
          <w:jc w:val="center"/>
        </w:trPr>
        <w:tc>
          <w:tcPr>
            <w:tcW w:w="7010" w:type="dxa"/>
            <w:vAlign w:val="center"/>
          </w:tcPr>
          <w:p w:rsidR="00CF276C" w:rsidRPr="00B34BF9" w:rsidRDefault="00CF276C" w:rsidP="00C62C8F">
            <w:pPr>
              <w:pStyle w:val="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2. Наличие на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пряка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връзка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между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предвидените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дейности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и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очакваните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резултати</w:t>
            </w:r>
            <w:proofErr w:type="spellEnd"/>
          </w:p>
        </w:tc>
        <w:tc>
          <w:tcPr>
            <w:tcW w:w="2126" w:type="dxa"/>
            <w:vAlign w:val="center"/>
          </w:tcPr>
          <w:p w:rsidR="00CF276C" w:rsidRPr="00B34BF9" w:rsidRDefault="00CF276C" w:rsidP="00C62C8F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CF276C" w:rsidRPr="00B34BF9" w:rsidTr="00C62C8F">
        <w:trPr>
          <w:jc w:val="center"/>
        </w:trPr>
        <w:tc>
          <w:tcPr>
            <w:tcW w:w="7010" w:type="dxa"/>
            <w:vAlign w:val="center"/>
          </w:tcPr>
          <w:p w:rsidR="00CF276C" w:rsidRPr="00B34BF9" w:rsidRDefault="00CF276C" w:rsidP="00C62C8F">
            <w:pPr>
              <w:pStyle w:val="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3.Проектното предложение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отговаря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на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изискванията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за </w:t>
            </w:r>
            <w:proofErr w:type="spellStart"/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>допустимост</w:t>
            </w:r>
            <w:proofErr w:type="spellEnd"/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 xml:space="preserve"> на </w:t>
            </w:r>
            <w:proofErr w:type="spellStart"/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>разходите</w:t>
            </w:r>
            <w:proofErr w:type="spellEnd"/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посочени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в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Наредбата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за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съответната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мярка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gram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от</w:t>
            </w:r>
            <w:proofErr w:type="gram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ПРСР и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Насоките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за кандидатстване</w:t>
            </w:r>
          </w:p>
        </w:tc>
        <w:tc>
          <w:tcPr>
            <w:tcW w:w="2126" w:type="dxa"/>
            <w:vAlign w:val="center"/>
          </w:tcPr>
          <w:p w:rsidR="00CF276C" w:rsidRPr="00B34BF9" w:rsidRDefault="00CF276C" w:rsidP="00C62C8F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CF276C" w:rsidRPr="00B34BF9" w:rsidTr="00C62C8F">
        <w:trPr>
          <w:trHeight w:val="709"/>
          <w:jc w:val="center"/>
        </w:trPr>
        <w:tc>
          <w:tcPr>
            <w:tcW w:w="7010" w:type="dxa"/>
            <w:vAlign w:val="center"/>
          </w:tcPr>
          <w:p w:rsidR="00CF276C" w:rsidRPr="00B34BF9" w:rsidRDefault="00CF276C" w:rsidP="00C62C8F">
            <w:pPr>
              <w:pStyle w:val="2"/>
              <w:spacing w:line="240" w:lineRule="auto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 w:cs="TimesNewRomanUnicode"/>
                <w:sz w:val="22"/>
                <w:szCs w:val="22"/>
                <w:lang w:val="bg-BG"/>
              </w:rPr>
              <w:t>4.</w:t>
            </w: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Проектът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води до постигане на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поне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една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gram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от целите</w:t>
            </w:r>
            <w:proofErr w:type="gram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на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мярката</w:t>
            </w:r>
            <w:proofErr w:type="spellEnd"/>
          </w:p>
        </w:tc>
        <w:tc>
          <w:tcPr>
            <w:tcW w:w="2126" w:type="dxa"/>
            <w:vAlign w:val="center"/>
          </w:tcPr>
          <w:p w:rsidR="00CF276C" w:rsidRPr="00B34BF9" w:rsidRDefault="00CF276C" w:rsidP="00C62C8F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CF276C" w:rsidRPr="00B34BF9" w:rsidTr="00C62C8F">
        <w:trPr>
          <w:trHeight w:val="709"/>
          <w:jc w:val="center"/>
        </w:trPr>
        <w:tc>
          <w:tcPr>
            <w:tcW w:w="7010" w:type="dxa"/>
            <w:vAlign w:val="center"/>
          </w:tcPr>
          <w:p w:rsidR="00CF276C" w:rsidRPr="00B34BF9" w:rsidRDefault="00CF276C" w:rsidP="00C62C8F">
            <w:pPr>
              <w:pStyle w:val="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5.</w:t>
            </w:r>
            <w:r w:rsidRPr="00182356">
              <w:rPr>
                <w:rFonts w:ascii="Century" w:hAnsi="Century"/>
                <w:sz w:val="22"/>
                <w:szCs w:val="22"/>
                <w:highlight w:val="white"/>
                <w:shd w:val="clear" w:color="auto" w:fill="FEFEFE"/>
                <w:lang w:val="ru-RU"/>
              </w:rPr>
              <w:t xml:space="preserve"> </w:t>
            </w:r>
            <w:proofErr w:type="spellStart"/>
            <w:r w:rsidRPr="00182356">
              <w:rPr>
                <w:rFonts w:ascii="Century" w:hAnsi="Century"/>
                <w:sz w:val="22"/>
                <w:szCs w:val="22"/>
                <w:highlight w:val="white"/>
                <w:shd w:val="clear" w:color="auto" w:fill="FEFEFE"/>
                <w:lang w:val="ru-RU"/>
              </w:rPr>
              <w:t>Проектът</w:t>
            </w:r>
            <w:proofErr w:type="spellEnd"/>
            <w:r w:rsidRPr="00182356">
              <w:rPr>
                <w:rFonts w:ascii="Century" w:hAnsi="Century"/>
                <w:sz w:val="22"/>
                <w:szCs w:val="22"/>
                <w:highlight w:val="white"/>
                <w:shd w:val="clear" w:color="auto" w:fill="FEFEFE"/>
                <w:lang w:val="ru-RU"/>
              </w:rPr>
              <w:t xml:space="preserve"> е само за </w:t>
            </w:r>
            <w:proofErr w:type="spellStart"/>
            <w:r w:rsidRPr="00182356">
              <w:rPr>
                <w:rFonts w:ascii="Century" w:hAnsi="Century"/>
                <w:sz w:val="22"/>
                <w:szCs w:val="22"/>
                <w:highlight w:val="white"/>
                <w:shd w:val="clear" w:color="auto" w:fill="FEFEFE"/>
                <w:lang w:val="ru-RU"/>
              </w:rPr>
              <w:t>възстановителни</w:t>
            </w:r>
            <w:proofErr w:type="spellEnd"/>
            <w:r w:rsidRPr="00182356">
              <w:rPr>
                <w:rFonts w:ascii="Century" w:hAnsi="Century"/>
                <w:sz w:val="22"/>
                <w:szCs w:val="22"/>
                <w:highlight w:val="white"/>
                <w:shd w:val="clear" w:color="auto" w:fill="FEFEFE"/>
                <w:lang w:val="ru-RU"/>
              </w:rPr>
              <w:t xml:space="preserve"> </w:t>
            </w:r>
            <w:proofErr w:type="spellStart"/>
            <w:r w:rsidRPr="00182356">
              <w:rPr>
                <w:rFonts w:ascii="Century" w:hAnsi="Century"/>
                <w:sz w:val="22"/>
                <w:szCs w:val="22"/>
                <w:highlight w:val="white"/>
                <w:shd w:val="clear" w:color="auto" w:fill="FEFEFE"/>
                <w:lang w:val="ru-RU"/>
              </w:rPr>
              <w:t>дейности</w:t>
            </w:r>
            <w:proofErr w:type="spellEnd"/>
            <w:r w:rsidRPr="00182356">
              <w:rPr>
                <w:rFonts w:ascii="Century" w:hAnsi="Century"/>
                <w:sz w:val="22"/>
                <w:szCs w:val="22"/>
                <w:highlight w:val="white"/>
                <w:shd w:val="clear" w:color="auto" w:fill="FEFEFE"/>
                <w:lang w:val="ru-RU"/>
              </w:rPr>
              <w:t xml:space="preserve">, </w:t>
            </w:r>
            <w:proofErr w:type="spellStart"/>
            <w:r w:rsidRPr="00182356">
              <w:rPr>
                <w:rFonts w:ascii="Century" w:hAnsi="Century"/>
                <w:sz w:val="22"/>
                <w:szCs w:val="22"/>
                <w:highlight w:val="white"/>
                <w:shd w:val="clear" w:color="auto" w:fill="FEFEFE"/>
                <w:lang w:val="ru-RU"/>
              </w:rPr>
              <w:t>осъществявани</w:t>
            </w:r>
            <w:proofErr w:type="spellEnd"/>
            <w:r w:rsidRPr="00182356">
              <w:rPr>
                <w:rFonts w:ascii="Century" w:hAnsi="Century"/>
                <w:sz w:val="22"/>
                <w:szCs w:val="22"/>
                <w:highlight w:val="white"/>
                <w:shd w:val="clear" w:color="auto" w:fill="FEFEFE"/>
                <w:lang w:val="ru-RU"/>
              </w:rPr>
              <w:t xml:space="preserve"> </w:t>
            </w:r>
            <w:proofErr w:type="gramStart"/>
            <w:r w:rsidRPr="00182356">
              <w:rPr>
                <w:rFonts w:ascii="Century" w:hAnsi="Century"/>
                <w:sz w:val="22"/>
                <w:szCs w:val="22"/>
                <w:highlight w:val="white"/>
                <w:shd w:val="clear" w:color="auto" w:fill="FEFEFE"/>
                <w:lang w:val="ru-RU"/>
              </w:rPr>
              <w:t>в</w:t>
            </w:r>
            <w:proofErr w:type="gramEnd"/>
            <w:r w:rsidRPr="00182356">
              <w:rPr>
                <w:rFonts w:ascii="Century" w:hAnsi="Century"/>
                <w:sz w:val="22"/>
                <w:szCs w:val="22"/>
                <w:highlight w:val="white"/>
                <w:shd w:val="clear" w:color="auto" w:fill="FEFEFE"/>
                <w:lang w:val="ru-RU"/>
              </w:rPr>
              <w:t xml:space="preserve"> гори на </w:t>
            </w:r>
            <w:proofErr w:type="spellStart"/>
            <w:r w:rsidRPr="00182356">
              <w:rPr>
                <w:rFonts w:ascii="Century" w:hAnsi="Century"/>
                <w:sz w:val="22"/>
                <w:szCs w:val="22"/>
                <w:highlight w:val="white"/>
                <w:shd w:val="clear" w:color="auto" w:fill="FEFEFE"/>
                <w:lang w:val="ru-RU"/>
              </w:rPr>
              <w:t>територията</w:t>
            </w:r>
            <w:proofErr w:type="spellEnd"/>
            <w:r w:rsidRPr="00182356">
              <w:rPr>
                <w:rFonts w:ascii="Century" w:hAnsi="Century"/>
                <w:sz w:val="22"/>
                <w:szCs w:val="22"/>
                <w:shd w:val="clear" w:color="auto" w:fill="FEFEFE"/>
                <w:lang w:val="ru-RU"/>
              </w:rPr>
              <w:t xml:space="preserve"> на МИГ</w:t>
            </w:r>
          </w:p>
        </w:tc>
        <w:tc>
          <w:tcPr>
            <w:tcW w:w="2126" w:type="dxa"/>
            <w:vAlign w:val="center"/>
          </w:tcPr>
          <w:p w:rsidR="00CF276C" w:rsidRPr="00B34BF9" w:rsidRDefault="00CF276C" w:rsidP="00C62C8F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CF276C" w:rsidRPr="00B34BF9" w:rsidTr="00C62C8F">
        <w:trPr>
          <w:trHeight w:val="709"/>
          <w:jc w:val="center"/>
        </w:trPr>
        <w:tc>
          <w:tcPr>
            <w:tcW w:w="7010" w:type="dxa"/>
            <w:vAlign w:val="center"/>
          </w:tcPr>
          <w:p w:rsidR="00CF276C" w:rsidRPr="00B34BF9" w:rsidRDefault="00CF276C" w:rsidP="00C62C8F">
            <w:pPr>
              <w:pStyle w:val="2"/>
              <w:spacing w:line="240" w:lineRule="auto"/>
              <w:jc w:val="left"/>
              <w:rPr>
                <w:rFonts w:ascii="Century" w:hAnsi="Century"/>
                <w:szCs w:val="22"/>
                <w:lang w:val="ru-RU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6.Планираните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ивестиционни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разходи </w:t>
            </w:r>
            <w:proofErr w:type="gram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за</w:t>
            </w:r>
            <w:proofErr w:type="gram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единица не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надхвърлят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допустимите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по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Наредбата</w:t>
            </w:r>
            <w:proofErr w:type="spellEnd"/>
          </w:p>
        </w:tc>
        <w:tc>
          <w:tcPr>
            <w:tcW w:w="2126" w:type="dxa"/>
            <w:vAlign w:val="center"/>
          </w:tcPr>
          <w:p w:rsidR="00CF276C" w:rsidRPr="00B34BF9" w:rsidRDefault="00CF276C" w:rsidP="00C62C8F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Да/не</w:t>
            </w:r>
          </w:p>
        </w:tc>
      </w:tr>
      <w:tr w:rsidR="00CF276C" w:rsidRPr="00B34BF9" w:rsidTr="00C62C8F">
        <w:trPr>
          <w:trHeight w:val="709"/>
          <w:jc w:val="center"/>
        </w:trPr>
        <w:tc>
          <w:tcPr>
            <w:tcW w:w="7010" w:type="dxa"/>
            <w:shd w:val="clear" w:color="auto" w:fill="D9D9D9"/>
            <w:vAlign w:val="center"/>
          </w:tcPr>
          <w:p w:rsidR="00CF276C" w:rsidRPr="00B34BF9" w:rsidRDefault="00CF276C" w:rsidP="00C62C8F">
            <w:pPr>
              <w:pStyle w:val="2"/>
              <w:spacing w:line="240" w:lineRule="auto"/>
              <w:jc w:val="left"/>
              <w:rPr>
                <w:rFonts w:ascii="Century" w:hAnsi="Century"/>
                <w:b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 xml:space="preserve">КРИТЕРИИ ЗА ИЗБОР НА ПРОЕКТИ </w:t>
            </w:r>
            <w:r w:rsidRPr="00B34BF9">
              <w:rPr>
                <w:rFonts w:ascii="Century" w:hAnsi="Century"/>
                <w:i/>
                <w:sz w:val="22"/>
                <w:szCs w:val="22"/>
                <w:lang w:val="bg-BG"/>
              </w:rPr>
              <w:t>(Извършва се за проектите с качествена оценка „ДА”)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CF276C" w:rsidRPr="00B34BF9" w:rsidRDefault="00CF276C" w:rsidP="00C62C8F">
            <w:pPr>
              <w:pStyle w:val="2"/>
              <w:spacing w:line="240" w:lineRule="auto"/>
              <w:jc w:val="center"/>
              <w:rPr>
                <w:rFonts w:ascii="Century" w:hAnsi="Century"/>
                <w:b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>100</w:t>
            </w:r>
          </w:p>
        </w:tc>
      </w:tr>
      <w:tr w:rsidR="00CF276C" w:rsidRPr="00B34BF9" w:rsidTr="00C62C8F">
        <w:trPr>
          <w:trHeight w:val="709"/>
          <w:jc w:val="center"/>
        </w:trPr>
        <w:tc>
          <w:tcPr>
            <w:tcW w:w="7010" w:type="dxa"/>
            <w:vAlign w:val="center"/>
          </w:tcPr>
          <w:p w:rsidR="00CF276C" w:rsidRPr="00B34BF9" w:rsidRDefault="00CF276C" w:rsidP="00D346BB">
            <w:pPr>
              <w:tabs>
                <w:tab w:val="left" w:pos="356"/>
              </w:tabs>
              <w:spacing w:beforeLines="40" w:afterLines="40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 xml:space="preserve">1. Проектът се реализира върху землището на повече от една община обхваната от МИГ </w:t>
            </w:r>
          </w:p>
        </w:tc>
        <w:tc>
          <w:tcPr>
            <w:tcW w:w="2126" w:type="dxa"/>
            <w:vAlign w:val="center"/>
          </w:tcPr>
          <w:p w:rsidR="00CF276C" w:rsidRPr="00B34BF9" w:rsidRDefault="00CF276C" w:rsidP="00C62C8F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50</w:t>
            </w:r>
          </w:p>
        </w:tc>
      </w:tr>
      <w:tr w:rsidR="00CF276C" w:rsidRPr="00B34BF9" w:rsidTr="00C62C8F">
        <w:trPr>
          <w:trHeight w:val="709"/>
          <w:jc w:val="center"/>
        </w:trPr>
        <w:tc>
          <w:tcPr>
            <w:tcW w:w="7010" w:type="dxa"/>
            <w:vAlign w:val="center"/>
          </w:tcPr>
          <w:p w:rsidR="00CF276C" w:rsidRPr="00B34BF9" w:rsidRDefault="00CF276C" w:rsidP="00D346BB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4.Кандидатът не е получавал подкрепа от Общността за подобна инвестиция</w:t>
            </w:r>
          </w:p>
        </w:tc>
        <w:tc>
          <w:tcPr>
            <w:tcW w:w="2126" w:type="dxa"/>
            <w:vAlign w:val="center"/>
          </w:tcPr>
          <w:p w:rsidR="00CF276C" w:rsidRPr="00B34BF9" w:rsidRDefault="00CF276C" w:rsidP="00C62C8F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20</w:t>
            </w:r>
          </w:p>
        </w:tc>
      </w:tr>
      <w:tr w:rsidR="00CF276C" w:rsidRPr="00B34BF9" w:rsidTr="00C62C8F">
        <w:trPr>
          <w:trHeight w:val="709"/>
          <w:jc w:val="center"/>
        </w:trPr>
        <w:tc>
          <w:tcPr>
            <w:tcW w:w="7010" w:type="dxa"/>
          </w:tcPr>
          <w:p w:rsidR="00CF276C" w:rsidRPr="00B34BF9" w:rsidRDefault="00CF276C" w:rsidP="00D346BB">
            <w:pPr>
              <w:spacing w:beforeLines="40" w:afterLines="40"/>
              <w:jc w:val="both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5.Проектът е за интервенции върху земи частна собственост</w:t>
            </w:r>
          </w:p>
        </w:tc>
        <w:tc>
          <w:tcPr>
            <w:tcW w:w="2126" w:type="dxa"/>
            <w:vAlign w:val="center"/>
          </w:tcPr>
          <w:p w:rsidR="00CF276C" w:rsidRPr="00B34BF9" w:rsidRDefault="00CF276C" w:rsidP="00C62C8F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30</w:t>
            </w:r>
          </w:p>
        </w:tc>
      </w:tr>
      <w:tr w:rsidR="00CF276C" w:rsidRPr="00B34BF9" w:rsidTr="00C62C8F">
        <w:trPr>
          <w:trHeight w:val="709"/>
          <w:jc w:val="center"/>
        </w:trPr>
        <w:tc>
          <w:tcPr>
            <w:tcW w:w="7010" w:type="dxa"/>
            <w:vAlign w:val="center"/>
          </w:tcPr>
          <w:p w:rsidR="00CF276C" w:rsidRPr="00B34BF9" w:rsidRDefault="00CF276C" w:rsidP="00D346BB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 xml:space="preserve">ОБЩО </w:t>
            </w:r>
          </w:p>
        </w:tc>
        <w:tc>
          <w:tcPr>
            <w:tcW w:w="2126" w:type="dxa"/>
            <w:vAlign w:val="center"/>
          </w:tcPr>
          <w:p w:rsidR="00CF276C" w:rsidRPr="00B34BF9" w:rsidRDefault="00CF276C" w:rsidP="00C62C8F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100</w:t>
            </w:r>
          </w:p>
        </w:tc>
      </w:tr>
    </w:tbl>
    <w:p w:rsidR="00CF276C" w:rsidRPr="00B34BF9" w:rsidRDefault="00CF276C" w:rsidP="00CF276C">
      <w:pPr>
        <w:autoSpaceDE w:val="0"/>
        <w:autoSpaceDN w:val="0"/>
        <w:adjustRightInd w:val="0"/>
        <w:jc w:val="both"/>
        <w:rPr>
          <w:rFonts w:ascii="Century" w:eastAsia="TimesNewRoman" w:hAnsi="Century"/>
          <w:b/>
          <w:sz w:val="22"/>
          <w:szCs w:val="22"/>
        </w:rPr>
      </w:pPr>
    </w:p>
    <w:p w:rsidR="00800CC6" w:rsidRDefault="00800CC6"/>
    <w:sectPr w:rsidR="00800CC6" w:rsidSect="00800C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203" w:usb1="08070000" w:usb2="00000010" w:usb3="00000000" w:csb0="00020005" w:csb1="00000000"/>
  </w:font>
  <w:font w:name="TimesNewRomanUnicode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hyphenationZone w:val="425"/>
  <w:characterSpacingControl w:val="doNotCompress"/>
  <w:compat/>
  <w:rsids>
    <w:rsidRoot w:val="00CF276C"/>
    <w:rsid w:val="004F1911"/>
    <w:rsid w:val="00800CC6"/>
    <w:rsid w:val="00B6757E"/>
    <w:rsid w:val="00CF276C"/>
    <w:rsid w:val="00D346BB"/>
    <w:rsid w:val="00DC4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7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CF276C"/>
    <w:pPr>
      <w:spacing w:after="120" w:line="480" w:lineRule="auto"/>
      <w:jc w:val="both"/>
    </w:pPr>
    <w:rPr>
      <w:rFonts w:eastAsia="Calibri"/>
      <w:szCs w:val="20"/>
      <w:lang w:val="en-GB" w:eastAsia="en-US"/>
    </w:rPr>
  </w:style>
  <w:style w:type="character" w:customStyle="1" w:styleId="20">
    <w:name w:val="Основен текст 2 Знак"/>
    <w:basedOn w:val="a0"/>
    <w:link w:val="2"/>
    <w:rsid w:val="00CF276C"/>
    <w:rPr>
      <w:rFonts w:ascii="Times New Roman" w:eastAsia="Calibri" w:hAnsi="Times New Roman" w:cs="Times New Roman"/>
      <w:sz w:val="24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2011-10-21T07:54:00Z</dcterms:created>
  <dcterms:modified xsi:type="dcterms:W3CDTF">2012-05-30T06:05:00Z</dcterms:modified>
</cp:coreProperties>
</file>