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6FF" w:rsidRDefault="00DC16FF" w:rsidP="002353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ФОРМУЛЯР ЗА МОНИТОРИНГ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За коя от изброените области проектът допринася в най-голяма степен?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Моля, отбележете само една област с поставен акцент</w:t>
      </w:r>
    </w:p>
    <w:tbl>
      <w:tblPr>
        <w:tblW w:w="9782" w:type="dxa"/>
        <w:tblCellSpacing w:w="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5812"/>
        <w:gridCol w:w="2977"/>
      </w:tblGrid>
      <w:tr w:rsidR="00FA7A36" w:rsidTr="00FA7A36">
        <w:trPr>
          <w:tblCellSpacing w:w="0" w:type="dxa"/>
        </w:trPr>
        <w:tc>
          <w:tcPr>
            <w:tcW w:w="6805" w:type="dxa"/>
            <w:gridSpan w:val="2"/>
          </w:tcPr>
          <w:p w:rsidR="00FA7A36" w:rsidRDefault="00FA7A36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Области с поставен акцент (за които в най-голяма степен допринасят проектите)</w:t>
            </w:r>
          </w:p>
        </w:tc>
        <w:tc>
          <w:tcPr>
            <w:tcW w:w="2977" w:type="dxa"/>
          </w:tcPr>
          <w:p w:rsidR="00FA7A36" w:rsidRPr="00066D62" w:rsidRDefault="00066D62" w:rsidP="006018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>
              <w:rPr>
                <w:rFonts w:ascii="Times New Roman" w:hAnsi="Times New Roman"/>
                <w:sz w:val="24"/>
                <w:szCs w:val="24"/>
              </w:rPr>
              <w:t>         НЕ</w:t>
            </w:r>
            <w:r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иновациите, сътрудничеството и развитието на базата от знания в селските райони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Укрепване на връзките между селското стопанство, производството на храни, горското стопанство и научноизследователската дейност и иновациите, включително с цел подобряване на екологичното управление и екологичните показатели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1C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Поощряване на ученето през целия живот и професионалното обучение в секторите на селското и горското стопанство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икономическите резултати на всички земеделски стопанства и улесняване на преструктурирането и модернизирането на стопанствата, особено с оглед увеличаването на пазарното участие и ориентация и разнообразяването в селското стопанство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Улесняване на навлизането на земеделски стопани с подходяща квалификация в селскостопанския сектор, и по-специално приемствеността между поколенията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конкурентоспособността на първичните производители чрез по-доброто им интегриране в селскостопанската и хранителната верига посредством схеми за качество, които да добавят стойност към селскостопанските продукти, популяризиране на местните пазари и къси вериги на доставки, групи на производителите и организации и междубраншови организации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Подпомагане на превенцията и управлението на риска на стопанствата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Възстановяване, опазване и укрепване на биологичното разнообразие, включително в зони по „Натура 2000“ и в зони с природни или други специфични ограничения и земеделие с висока природна стойност, както и на състоянието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европейските ландшафти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управлението на водите, включително управлението на торовете и пестицидите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Предотвратяване на ерозията на почвите и подобряване на управлението им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Повишаване на ефективността при потреблението на вода в селското стопанство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Повишаване на ефективността при потреблението на енергия в селското стопанство и хранително-вкусовата промишленост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5C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Улесняване на доставките и използването на възобновяеми източници на енергия, на странични продукти, отпадъци и остатъци и други нехранителни суровини за целите на биоикономиката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5D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Намаляване на емисиите на парникови газове и амоняк от селското стопанство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5E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съхраняването и поглъщането на въглерода в сектора на селското и горското стопанство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Улесняване на разнообразяването, създаването и развитието на малки предприятия, както и разкриването на работни места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6B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местното развитие в селските райони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6C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достъпа до информационни и комуникационни технологии (ИКТ), използването и качеството им в селските райони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066D62" w:rsidTr="00FA7A36">
        <w:trPr>
          <w:tblCellSpacing w:w="0" w:type="dxa"/>
        </w:trPr>
        <w:tc>
          <w:tcPr>
            <w:tcW w:w="993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</w:t>
            </w:r>
          </w:p>
        </w:tc>
        <w:tc>
          <w:tcPr>
            <w:tcW w:w="5812" w:type="dxa"/>
          </w:tcPr>
          <w:p w:rsidR="00066D62" w:rsidRDefault="00066D62" w:rsidP="00FA7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27" w:firstLine="1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Друга област</w:t>
            </w:r>
          </w:p>
        </w:tc>
        <w:tc>
          <w:tcPr>
            <w:tcW w:w="2977" w:type="dxa"/>
          </w:tcPr>
          <w:p w:rsidR="00066D62" w:rsidRDefault="00066D62" w:rsidP="00066D62">
            <w:r w:rsidRPr="007E1B49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7E1B49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</w:tbl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Какъв е видът на кандидата?</w:t>
      </w:r>
    </w:p>
    <w:tbl>
      <w:tblPr>
        <w:tblW w:w="9776" w:type="dxa"/>
        <w:tblCellSpacing w:w="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5"/>
        <w:gridCol w:w="2971"/>
      </w:tblGrid>
      <w:tr w:rsidR="0023535A" w:rsidTr="00272D17">
        <w:trPr>
          <w:tblCellSpacing w:w="0" w:type="dxa"/>
        </w:trPr>
        <w:tc>
          <w:tcPr>
            <w:tcW w:w="9776" w:type="dxa"/>
            <w:gridSpan w:val="2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на кандидата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МИГ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НПО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Публичен орган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Малко или средно предприятие 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Микропредприятие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(моля, отбележете и юридическата форма)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Физическо лице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ЕТ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Лице, регистрирано по ТЗ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72D17" w:rsidTr="00272D17">
        <w:trPr>
          <w:tblCellSpacing w:w="0" w:type="dxa"/>
        </w:trPr>
        <w:tc>
          <w:tcPr>
            <w:tcW w:w="6805" w:type="dxa"/>
          </w:tcPr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2D17" w:rsidRDefault="00272D17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Друго (моля, отбележете, ако е приложимо)</w:t>
            </w:r>
          </w:p>
        </w:tc>
        <w:tc>
          <w:tcPr>
            <w:tcW w:w="2971" w:type="dxa"/>
          </w:tcPr>
          <w:p w:rsidR="00272D17" w:rsidRDefault="00272D17" w:rsidP="00272D17">
            <w:r w:rsidRPr="00641FAA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         НЕ</w:t>
            </w:r>
            <w:r w:rsidRPr="00641FA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</w:tbl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Планира ли се създаване на работни места в резултат от изпълнението на проекта?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отговор ДА, моля, попълнете таблицата, като имате предвид следното: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1. Отчитат се данните само за новосъздадени работни места;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2. Отчитат се данните за създаване на работни места, свързани с проекта след неговото стартиране, например: ако проектът е за създаване на фермерски магазин, не се включват данните за създадени работни места по време на подготвителната фаза/реконструкция/строеж (за консултанти, архитекти, строители и т.н.). Отчитат се данните за създадените работни места след отваряне на магазина (управител, продавач и т.н.). Доброволната работа не се включва, но самонаемането следва да бъде отчетено;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3. За да се отчете едно работно място, продължителността на договора с наетото лице трябва да е най-малко една година. Когато е предвиден такъв за 6 месеца, работното място се отчита като 0,5 бр.</w:t>
      </w:r>
    </w:p>
    <w:tbl>
      <w:tblPr>
        <w:tblW w:w="9776" w:type="dxa"/>
        <w:tblCellSpacing w:w="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5"/>
        <w:gridCol w:w="3323"/>
        <w:gridCol w:w="2688"/>
      </w:tblGrid>
      <w:tr w:rsidR="0023535A" w:rsidTr="00272D17">
        <w:trPr>
          <w:tblCellSpacing w:w="0" w:type="dxa"/>
        </w:trPr>
        <w:tc>
          <w:tcPr>
            <w:tcW w:w="3765" w:type="dxa"/>
            <w:vMerge w:val="restart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</w:t>
            </w:r>
          </w:p>
        </w:tc>
        <w:tc>
          <w:tcPr>
            <w:tcW w:w="6011" w:type="dxa"/>
            <w:gridSpan w:val="2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работни места</w:t>
            </w:r>
          </w:p>
        </w:tc>
      </w:tr>
      <w:tr w:rsidR="0023535A" w:rsidTr="00272D17">
        <w:trPr>
          <w:tblCellSpacing w:w="0" w:type="dxa"/>
        </w:trPr>
        <w:tc>
          <w:tcPr>
            <w:tcW w:w="3765" w:type="dxa"/>
            <w:vMerge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332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мъже</w:t>
            </w:r>
          </w:p>
        </w:tc>
        <w:tc>
          <w:tcPr>
            <w:tcW w:w="268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жени</w:t>
            </w:r>
          </w:p>
        </w:tc>
      </w:tr>
      <w:tr w:rsidR="0023535A" w:rsidTr="00272D17">
        <w:trPr>
          <w:tblCellSpacing w:w="0" w:type="dxa"/>
        </w:trPr>
        <w:tc>
          <w:tcPr>
            <w:tcW w:w="376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 места, които ще бъдат разкрити в резултат от подпомагане на проекта</w:t>
            </w:r>
          </w:p>
        </w:tc>
        <w:tc>
          <w:tcPr>
            <w:tcW w:w="332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 Какъв е броят на жителите, които ще се ползват от подобрени услуги/инфраструктура в резултат от изпълнението на проекта?</w:t>
      </w: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(Когато е приложимо)</w:t>
      </w:r>
    </w:p>
    <w:tbl>
      <w:tblPr>
        <w:tblW w:w="9781" w:type="dxa"/>
        <w:tblCellSpacing w:w="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4394"/>
      </w:tblGrid>
      <w:tr w:rsidR="0023535A" w:rsidTr="00272D17">
        <w:trPr>
          <w:tblCellSpacing w:w="0" w:type="dxa"/>
        </w:trPr>
        <w:tc>
          <w:tcPr>
            <w:tcW w:w="5387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</w:t>
            </w:r>
          </w:p>
        </w:tc>
        <w:tc>
          <w:tcPr>
            <w:tcW w:w="439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</w:t>
            </w:r>
          </w:p>
        </w:tc>
      </w:tr>
      <w:tr w:rsidR="0023535A" w:rsidTr="00272D17">
        <w:trPr>
          <w:tblCellSpacing w:w="0" w:type="dxa"/>
        </w:trPr>
        <w:tc>
          <w:tcPr>
            <w:tcW w:w="5387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Жители, които ще се ползват от подобрени ИТ услуги/ инфраструктура</w:t>
            </w:r>
          </w:p>
        </w:tc>
        <w:tc>
          <w:tcPr>
            <w:tcW w:w="439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272D17">
        <w:trPr>
          <w:tblCellSpacing w:w="0" w:type="dxa"/>
        </w:trPr>
        <w:tc>
          <w:tcPr>
            <w:tcW w:w="5387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Жители, които ще се ползват от подобрени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услуги/ инфраструктура, различни от тези, свързани с ИТ</w:t>
            </w:r>
          </w:p>
        </w:tc>
        <w:tc>
          <w:tcPr>
            <w:tcW w:w="439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 Моля, попълнете таблицата на местата, приложими за Вашия проект.</w:t>
      </w:r>
    </w:p>
    <w:tbl>
      <w:tblPr>
        <w:tblW w:w="9445" w:type="dxa"/>
        <w:tblCellSpacing w:w="0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568"/>
        <w:gridCol w:w="2126"/>
        <w:gridCol w:w="1795"/>
        <w:gridCol w:w="1559"/>
      </w:tblGrid>
      <w:tr w:rsidR="0023535A" w:rsidTr="008126DA">
        <w:trPr>
          <w:tblCellSpacing w:w="0" w:type="dxa"/>
        </w:trPr>
        <w:tc>
          <w:tcPr>
            <w:tcW w:w="3397" w:type="dxa"/>
            <w:gridSpan w:val="2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Приоритет</w:t>
            </w:r>
          </w:p>
        </w:tc>
        <w:tc>
          <w:tcPr>
            <w:tcW w:w="2694" w:type="dxa"/>
            <w:gridSpan w:val="2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 с поставен акцент (за която в най-голяма степен допринася проектът)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Стойност/ количество</w:t>
            </w: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всички мерки от стратегията, където е приложимо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P1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трансфера на знания и иновации в областта на селското и горското стопанство и селските райони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иновациите, сътрудничеството и развитието на базата от знания в селските райони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Общо публични разходи, лв.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мярката за сътрудничество (член 35 от Регламент (ЕС) № 1305/2013, където е приложимо)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P1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трансфера на знания и иновациите в областта на селското и горското стопанство и селските райони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Укрепване на връзките между селското стопанство, производството на храни, горското стопанство и научноизследователската дейност и иновациите, включително с цел подобряване на екологичното управление и екологичните показатели 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Проектът е за сътрудничество по мярката за сътрудничество – член 35 от Регламент (ЕС) № 1305/2013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  <w:r w:rsidR="008126DA">
              <w:rPr>
                <w:rFonts w:ascii="Times New Roman" w:hAnsi="Times New Roman"/>
                <w:sz w:val="24"/>
                <w:szCs w:val="24"/>
              </w:rPr>
              <w:t></w:t>
            </w: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</w:t>
            </w:r>
            <w:r w:rsidR="008126DA">
              <w:rPr>
                <w:rFonts w:ascii="Times New Roman" w:hAnsi="Times New Roman"/>
                <w:sz w:val="24"/>
                <w:szCs w:val="24"/>
              </w:rPr>
              <w:t></w:t>
            </w: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мярка 1.1 и други подобни,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P1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Стимулиране на трансфера на знания и иновациите в областта на селското и горското стопанство и селските райони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1C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Поощряване на ученето през целия живот и професионалното обучение в секторите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селското и горското стопанство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Брой на участниците в обучения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мерки 3.1, 4.1, 5, 6, 8.1 до 8.4, 17.1 и други подобни на тях,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P2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жизнеспособността на стопанствата и конкурентоспособността на всички видове земеделие във всички региони; насърчаване на новаторски селскостопански технологии и устойчивото управление на горите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икономическите резултати на всички земеделски стопанства и улесняване на преструктурирането и модернизирането на стопанствата, особено с оглед увеличаването на пазарното участие и ориентация и разнообразяването в селското стопанство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на стопанствата/получателите, получаващи подкрепа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P2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Подобряване на жизнеспособността на стопанствата и конкурентоспособността на всички видове земеделие във всички региони; насърчаване на новаторски селскостопански технологии и устойчивото управление на горите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Улесняване на навлизането на земеделски стопани с подходяща квалификация в селскостопанския сектор, и по-специално приемствеността между поколенията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на стопанствата/получателите, получаващи подкрепа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P3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Насърчаване на добро организиране на хранителната верига, в т.ч. преработката и търговията със селскостопански продукти, хуманното отношение към животните и управлението на риска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Подобряване на конкурентоспособността на първичните производители чрез по-доброто им интегриране в селскостопанската и хранителната верига посредством схеми за качество, които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да добавят стойност към селскостопанските продукти, популяризиране на местните пазари и къси вериги на доставки, групи на производителите и организации и междубраншови организации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Брой на стопанствата/получателите, получаващи подкрепа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P3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Насърчаване на добро организиране на хранителната верига, в т.ч. преработката и търговията със селскостопански продукти, хуманното отношение към животните и управлението на риска в селското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Подпомагане на превенцията и управлението на риска на стопанствата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на стопанствата/получателите, получаващи подкрепа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мерки 4, 8.1 до 8.5, 15.1 и други подобни на тях,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Възстановяване, опазване и укрепване на екосистемите, свързани 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Възстановяване, опазване и укрепване на биологичното разнообразие, включително в зони по „Натура 2000“ и в зони с природни или други специфични ограничения и земеделие с висока природна стойност, както и на състоянието на европейските ландшафти 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(за земеделие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на селските райони)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Обща подпомогната площ (ха) 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Възстановяване, опазване и укрепване на екосистемите, свързани 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Възстановяване, опазване и укрепване на биологичното разнообразие, включително в зони по „Натура 2000“ и в зони с природни или други специфични ограничения и земеделие с висока природна стойност, както и на състоянието на европейските ландшафти 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горско стопанство)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 подпомогната площ (ха) 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Възстановяване, опазване и укрепване на екосистемите, свързани 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Подобряване управлението на водите, включително управлението на торовете и пестицидите 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земеделие и развитие на селските райони)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 подпомогната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Възстановяване, опазване и укрепване на екосистемите, свързани 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Подобряване управлението на водите, включително управлението на торовете и пестицидите 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горско стопанство)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 подпомогната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Възстановяване, опазване и укрепване на екосистемите, свързани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Предотвратяване на ерозията на почвите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подобряване на управлението им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земеделие и развитие на селските райони)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Обща подпомогната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P4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Възстановяване, опазване и укрепване на екосистемите, свързани със селското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Предотвратяване на ерозията на почвите и подобряване на управлението им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(за горско стопанство)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 подпомогната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Насърчаване на ефективното използване на ресурсите и подпомагане на прехода към нисковъглеродна и устойчива на изменението на климата икономика в селското стопанство, сектора на храните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5A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Повишаване на ефективността при потреблението на вода в селското стопанство 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 подпомогната площ (ха) 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(Отнася се за площта, обхваната от инвестиции за напояване)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мерки 4, 5, 6.4, 7.2 до 7.8, 8.5 и 8.6 и други инвестиционни мерки,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Насърчаване на ефективното използване на ресурсите и подпомагане на прехода към нисковъглеродна и устойчива на изменението на климата икономика в селското стопанство, сектора на храните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5B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Повишаване на ефективността при потреблението на енергия в селското стопанство и хранително-вкусовата промишленост 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 размер на инвестициите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(Сума от всички допустими инвестиционни разходи – публични и частни)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Насърчаване на ефективното използване на ресурсите и подпомагане на прехода към нисковъглеродна и устойчива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изменението на климата икономика в селското стопанство, сектора на храните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5C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Улесняване на доставките и използването на възобновяеми източници на енергия,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странични продукти, отпадъци и остатъци и други нехранителни суровини за целите на биоикономиката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 размер на инвестициите</w:t>
            </w: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(Сума от всички допустими инвестиционни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разходи – публични и частни)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мерки 4, 8.1 до 8.5, 15.1 и други подобни на тях,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Насърчаване на ефективното използване на ресурсите и подпомагане на прехода към нисковъглеродна и устойчива на изменението на климата икономика в селското стопанство, сектора на храните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5D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Намаляване на емисиите на парникови газове и амоняк от селското стопанство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мярка 4 и други подобни,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Насърчаване на ефективното използване на ресурсите и подпомагане на прехода към нисковъглеродна и устойчива на изменението на климата икономика в селското стопанство, сектора на храните и горското 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5D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Намаляване на емисиите на парникови газове и амоняк от селското стопанство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Брой на подпомаганите животински единици (ЖЕ)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35A" w:rsidTr="008126DA">
        <w:trPr>
          <w:tblCellSpacing w:w="0" w:type="dxa"/>
        </w:trPr>
        <w:tc>
          <w:tcPr>
            <w:tcW w:w="9445" w:type="dxa"/>
            <w:gridSpan w:val="6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мерки 4, 8.1 до 8.5, 15.1 и други подобни на тях, включени в стратегията за ВОМР</w:t>
            </w:r>
          </w:p>
        </w:tc>
      </w:tr>
      <w:tr w:rsidR="0023535A" w:rsidTr="008126DA">
        <w:trPr>
          <w:tblCellSpacing w:w="0" w:type="dxa"/>
        </w:trPr>
        <w:tc>
          <w:tcPr>
            <w:tcW w:w="704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F63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P5</w:t>
            </w:r>
          </w:p>
        </w:tc>
        <w:tc>
          <w:tcPr>
            <w:tcW w:w="2693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Насърчаване на ефективното използване на ресурсите и подпомагане на прехода към нисковъглеродна и устойчива на изменението на климата икономика в селското стопанство, сектора на храните и горското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стопанство</w:t>
            </w:r>
          </w:p>
        </w:tc>
        <w:tc>
          <w:tcPr>
            <w:tcW w:w="568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3535A" w:rsidRDefault="0023535A" w:rsidP="008126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5E</w:t>
            </w:r>
          </w:p>
        </w:tc>
        <w:tc>
          <w:tcPr>
            <w:tcW w:w="2126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Стимулиране на съхраняването и поглъщането на въглерода в сектора на селското и горското стопанство </w:t>
            </w:r>
          </w:p>
        </w:tc>
        <w:tc>
          <w:tcPr>
            <w:tcW w:w="1795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 площ (ха)</w:t>
            </w:r>
          </w:p>
        </w:tc>
        <w:tc>
          <w:tcPr>
            <w:tcW w:w="1559" w:type="dxa"/>
          </w:tcPr>
          <w:p w:rsidR="0023535A" w:rsidRDefault="0023535A" w:rsidP="002764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163854" w:rsidRDefault="00163854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163854" w:rsidRDefault="00163854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163854" w:rsidRDefault="00163854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 на представляващия кандидата:</w:t>
      </w:r>
      <w:r w:rsidR="00163854"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163854" w:rsidRDefault="00163854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163854" w:rsidRDefault="00163854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23535A" w:rsidRDefault="0023535A" w:rsidP="0023535A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*Важно: Формулярът за мониторинг се попълва при регистриране на проектно предложение от кандидат към стратегия за ВОМР и при подаване на искане за плащане. При подаване на искане за плащане във формуляра се отчитат актуалните данни.</w:t>
      </w:r>
    </w:p>
    <w:p w:rsidR="00E73D60" w:rsidRDefault="00E73D60" w:rsidP="0023535A">
      <w:pPr>
        <w:jc w:val="both"/>
      </w:pPr>
    </w:p>
    <w:sectPr w:rsidR="00E73D60" w:rsidSect="0023535A">
      <w:headerReference w:type="default" r:id="rId6"/>
      <w:footerReference w:type="default" r:id="rId7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463" w:rsidRDefault="00A32463" w:rsidP="00400BFD">
      <w:pPr>
        <w:spacing w:after="0" w:line="240" w:lineRule="auto"/>
      </w:pPr>
      <w:r>
        <w:separator/>
      </w:r>
    </w:p>
  </w:endnote>
  <w:endnote w:type="continuationSeparator" w:id="0">
    <w:p w:rsidR="00A32463" w:rsidRDefault="00A32463" w:rsidP="0040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FD" w:rsidRPr="00400BFD" w:rsidRDefault="00400BFD" w:rsidP="00400BFD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/>
        <w:sz w:val="16"/>
        <w:szCs w:val="16"/>
        <w:lang w:val="en-US"/>
      </w:rPr>
    </w:pPr>
    <w:r w:rsidRPr="00400BFD">
      <w:rPr>
        <w:rFonts w:ascii="Times New Roman" w:eastAsia="Calibri" w:hAnsi="Times New Roman"/>
        <w:noProof/>
        <w:sz w:val="16"/>
        <w:szCs w:val="16"/>
      </w:rPr>
      <w:drawing>
        <wp:inline distT="0" distB="0" distL="0" distR="0" wp14:anchorId="3AE2A5F6" wp14:editId="2405A1FD">
          <wp:extent cx="361950" cy="457200"/>
          <wp:effectExtent l="0" t="0" r="0" b="0"/>
          <wp:docPr id="11" name="Picture 11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0BFD">
      <w:rPr>
        <w:rFonts w:ascii="Times New Roman" w:eastAsia="Calibri" w:hAnsi="Times New Roman"/>
        <w:sz w:val="16"/>
        <w:szCs w:val="16"/>
      </w:rPr>
      <w:t xml:space="preserve">              </w:t>
    </w:r>
    <w:r w:rsidRPr="00400BFD">
      <w:rPr>
        <w:rFonts w:ascii="Times New Roman" w:eastAsia="Calibri" w:hAnsi="Times New Roman"/>
        <w:noProof/>
        <w:sz w:val="16"/>
        <w:szCs w:val="16"/>
      </w:rPr>
      <w:drawing>
        <wp:inline distT="0" distB="0" distL="0" distR="0" wp14:anchorId="072435AA" wp14:editId="132B6A91">
          <wp:extent cx="323850" cy="457200"/>
          <wp:effectExtent l="0" t="0" r="0" b="0"/>
          <wp:docPr id="10" name="Picture 10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uky_sign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0BFD">
      <w:rPr>
        <w:rFonts w:ascii="Times New Roman" w:eastAsia="Calibri" w:hAnsi="Times New Roman"/>
        <w:sz w:val="16"/>
        <w:szCs w:val="16"/>
      </w:rPr>
      <w:t xml:space="preserve">             </w:t>
    </w:r>
    <w:r w:rsidRPr="00400BFD">
      <w:rPr>
        <w:rFonts w:ascii="Times New Roman" w:eastAsia="Calibri" w:hAnsi="Times New Roman"/>
        <w:noProof/>
        <w:sz w:val="16"/>
        <w:szCs w:val="16"/>
      </w:rPr>
      <w:drawing>
        <wp:inline distT="0" distB="0" distL="0" distR="0" wp14:anchorId="03A3EBCF" wp14:editId="429A2157">
          <wp:extent cx="390525" cy="514350"/>
          <wp:effectExtent l="0" t="0" r="9525" b="0"/>
          <wp:docPr id="9" name="Picture 9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400BFD" w:rsidRPr="00400BFD" w:rsidRDefault="00400BFD" w:rsidP="00400BFD">
    <w:pPr>
      <w:spacing w:after="0" w:line="240" w:lineRule="auto"/>
      <w:jc w:val="center"/>
      <w:rPr>
        <w:rFonts w:ascii="Times New Roman" w:eastAsia="Calibri" w:hAnsi="Times New Roman"/>
        <w:sz w:val="20"/>
        <w:szCs w:val="20"/>
      </w:rPr>
    </w:pPr>
    <w:r w:rsidRPr="00400BFD">
      <w:rPr>
        <w:rFonts w:ascii="Times New Roman" w:eastAsia="Calibri" w:hAnsi="Times New Roman"/>
        <w:sz w:val="20"/>
        <w:szCs w:val="20"/>
      </w:rPr>
      <w:t>Сдружение Местна Инициативна Група „Преспа” - общини Баните, Лъки и Чепеларе</w:t>
    </w:r>
  </w:p>
  <w:p w:rsidR="00400BFD" w:rsidRPr="00400BFD" w:rsidRDefault="00400BFD" w:rsidP="00400BFD">
    <w:pPr>
      <w:spacing w:after="0" w:line="240" w:lineRule="auto"/>
      <w:jc w:val="center"/>
      <w:rPr>
        <w:rFonts w:ascii="Times New Roman" w:eastAsia="Calibri" w:hAnsi="Times New Roman"/>
        <w:sz w:val="20"/>
        <w:szCs w:val="20"/>
      </w:rPr>
    </w:pPr>
    <w:r w:rsidRPr="00400BFD">
      <w:rPr>
        <w:rFonts w:ascii="Times New Roman" w:eastAsia="Calibri" w:hAnsi="Times New Roman"/>
        <w:sz w:val="20"/>
        <w:szCs w:val="20"/>
      </w:rPr>
      <w:t xml:space="preserve">адрес: гр. Чепеларе 4850; </w:t>
    </w:r>
    <w:r w:rsidRPr="00400BFD">
      <w:rPr>
        <w:rFonts w:ascii="Times New Roman" w:eastAsia="Calibri" w:hAnsi="Times New Roman"/>
        <w:sz w:val="20"/>
        <w:szCs w:val="20"/>
        <w:lang w:val="ru-RU"/>
      </w:rPr>
      <w:t xml:space="preserve">ул. ”Йордан Данчев” № 1; </w:t>
    </w:r>
    <w:r w:rsidRPr="00400BFD">
      <w:rPr>
        <w:rFonts w:ascii="Times New Roman" w:eastAsia="Calibri" w:hAnsi="Times New Roman"/>
        <w:sz w:val="20"/>
        <w:szCs w:val="20"/>
        <w:lang w:val="en-US"/>
      </w:rPr>
      <w:t>e</w:t>
    </w:r>
    <w:r w:rsidRPr="00400BFD">
      <w:rPr>
        <w:rFonts w:ascii="Times New Roman" w:eastAsia="Calibri" w:hAnsi="Times New Roman"/>
        <w:sz w:val="20"/>
        <w:szCs w:val="20"/>
        <w:lang w:val="ru-RU"/>
      </w:rPr>
      <w:t>-</w:t>
    </w:r>
    <w:r w:rsidRPr="00400BFD">
      <w:rPr>
        <w:rFonts w:ascii="Times New Roman" w:eastAsia="Calibri" w:hAnsi="Times New Roman"/>
        <w:sz w:val="20"/>
        <w:szCs w:val="20"/>
        <w:lang w:val="en-US"/>
      </w:rPr>
      <w:t>mail</w:t>
    </w:r>
    <w:r w:rsidRPr="00400BFD">
      <w:rPr>
        <w:rFonts w:ascii="Times New Roman" w:eastAsia="Calibri" w:hAnsi="Times New Roman"/>
        <w:sz w:val="20"/>
        <w:szCs w:val="20"/>
        <w:lang w:val="ru-RU"/>
      </w:rPr>
      <w:t xml:space="preserve">: </w:t>
    </w:r>
    <w:hyperlink r:id="rId4" w:history="1">
      <w:r w:rsidRPr="00400BFD">
        <w:rPr>
          <w:rFonts w:ascii="Times New Roman" w:eastAsia="Calibri" w:hAnsi="Times New Roman"/>
          <w:color w:val="0000FF"/>
          <w:sz w:val="20"/>
          <w:szCs w:val="20"/>
          <w:u w:val="single"/>
          <w:lang w:val="en-US"/>
        </w:rPr>
        <w:t>migprespa</w:t>
      </w:r>
      <w:r w:rsidRPr="00400BFD">
        <w:rPr>
          <w:rFonts w:ascii="Times New Roman" w:eastAsia="Calibri" w:hAnsi="Times New Roman"/>
          <w:color w:val="0000FF"/>
          <w:sz w:val="20"/>
          <w:szCs w:val="20"/>
          <w:u w:val="single"/>
          <w:lang w:val="ru-RU"/>
        </w:rPr>
        <w:t>@</w:t>
      </w:r>
      <w:r w:rsidRPr="00400BFD">
        <w:rPr>
          <w:rFonts w:ascii="Times New Roman" w:eastAsia="Calibri" w:hAnsi="Times New Roman"/>
          <w:color w:val="0000FF"/>
          <w:sz w:val="20"/>
          <w:szCs w:val="20"/>
          <w:u w:val="single"/>
          <w:lang w:val="en-US"/>
        </w:rPr>
        <w:t>gmail</w:t>
      </w:r>
      <w:r w:rsidRPr="00400BFD">
        <w:rPr>
          <w:rFonts w:ascii="Times New Roman" w:eastAsia="Calibri" w:hAnsi="Times New Roman"/>
          <w:color w:val="0000FF"/>
          <w:sz w:val="20"/>
          <w:szCs w:val="20"/>
          <w:u w:val="single"/>
          <w:lang w:val="ru-RU"/>
        </w:rPr>
        <w:t>.</w:t>
      </w:r>
      <w:r w:rsidRPr="00400BFD">
        <w:rPr>
          <w:rFonts w:ascii="Times New Roman" w:eastAsia="Calibri" w:hAnsi="Times New Roman"/>
          <w:color w:val="0000FF"/>
          <w:sz w:val="20"/>
          <w:szCs w:val="20"/>
          <w:u w:val="single"/>
          <w:lang w:val="en-US"/>
        </w:rPr>
        <w:t>com</w:t>
      </w:r>
    </w:hyperlink>
  </w:p>
  <w:p w:rsidR="00400BFD" w:rsidRPr="00400BFD" w:rsidRDefault="00400BFD" w:rsidP="00400BFD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/>
        <w:sz w:val="20"/>
        <w:szCs w:val="20"/>
      </w:rPr>
    </w:pPr>
    <w:r w:rsidRPr="00400BFD">
      <w:rPr>
        <w:rFonts w:ascii="Times New Roman" w:eastAsia="Calibri" w:hAnsi="Times New Roman"/>
        <w:sz w:val="20"/>
        <w:szCs w:val="20"/>
      </w:rPr>
      <w:t>телефон за контакти: 0887 909 338</w:t>
    </w:r>
  </w:p>
  <w:p w:rsidR="00400BFD" w:rsidRDefault="00400B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463" w:rsidRDefault="00A32463" w:rsidP="00400BFD">
      <w:pPr>
        <w:spacing w:after="0" w:line="240" w:lineRule="auto"/>
      </w:pPr>
      <w:r>
        <w:separator/>
      </w:r>
    </w:p>
  </w:footnote>
  <w:footnote w:type="continuationSeparator" w:id="0">
    <w:p w:rsidR="00A32463" w:rsidRDefault="00A32463" w:rsidP="0040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BFD" w:rsidRPr="00400BFD" w:rsidRDefault="00400BFD" w:rsidP="00400BFD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rPr>
        <w:rFonts w:ascii="Times New Roman" w:eastAsia="Times New Roman" w:hAnsi="Times New Roman"/>
        <w:sz w:val="20"/>
        <w:szCs w:val="20"/>
      </w:rPr>
    </w:pPr>
    <w:r w:rsidRPr="00400BFD">
      <w:rPr>
        <w:rFonts w:ascii="Times New Roman" w:eastAsia="Times New Roman" w:hAnsi="Times New Roman"/>
        <w:noProof/>
        <w:sz w:val="20"/>
        <w:szCs w:val="20"/>
      </w:rPr>
      <w:drawing>
        <wp:inline distT="0" distB="0" distL="0" distR="0" wp14:anchorId="63D7CA28" wp14:editId="68735D6F">
          <wp:extent cx="895350" cy="64770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0BFD">
      <w:rPr>
        <w:rFonts w:ascii="Times New Roman" w:eastAsia="Times New Roman" w:hAnsi="Times New Roman"/>
        <w:sz w:val="20"/>
        <w:szCs w:val="20"/>
      </w:rPr>
      <w:t xml:space="preserve">            </w:t>
    </w:r>
    <w:r w:rsidRPr="00400BFD">
      <w:rPr>
        <w:rFonts w:ascii="Times New Roman" w:eastAsia="Times New Roman" w:hAnsi="Times New Roman"/>
        <w:noProof/>
        <w:sz w:val="20"/>
        <w:szCs w:val="20"/>
      </w:rPr>
      <w:drawing>
        <wp:inline distT="0" distB="0" distL="0" distR="0" wp14:anchorId="2CD463A9" wp14:editId="6B00194B">
          <wp:extent cx="962025" cy="542925"/>
          <wp:effectExtent l="0" t="0" r="9525" b="9525"/>
          <wp:docPr id="7" name="Picture 7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лого–мз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0BFD">
      <w:rPr>
        <w:rFonts w:ascii="Times New Roman" w:eastAsia="Times New Roman" w:hAnsi="Times New Roman"/>
        <w:i/>
        <w:sz w:val="20"/>
        <w:szCs w:val="20"/>
      </w:rPr>
      <w:t xml:space="preserve">            </w:t>
    </w:r>
    <w:r w:rsidRPr="00400BFD">
      <w:rPr>
        <w:rFonts w:ascii="Times New Roman" w:eastAsia="Times New Roman" w:hAnsi="Times New Roman"/>
        <w:i/>
        <w:noProof/>
        <w:sz w:val="20"/>
        <w:szCs w:val="20"/>
      </w:rPr>
      <w:drawing>
        <wp:inline distT="0" distB="0" distL="0" distR="0" wp14:anchorId="7DD73659" wp14:editId="444CE7F2">
          <wp:extent cx="762000" cy="63817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00BFD">
      <w:rPr>
        <w:rFonts w:ascii="Times New Roman" w:eastAsia="Times New Roman" w:hAnsi="Times New Roman"/>
        <w:i/>
        <w:sz w:val="20"/>
        <w:szCs w:val="20"/>
      </w:rPr>
      <w:t xml:space="preserve">       </w:t>
    </w:r>
    <w:r w:rsidRPr="00400BFD">
      <w:rPr>
        <w:rFonts w:ascii="Times New Roman" w:eastAsia="Times New Roman" w:hAnsi="Times New Roman"/>
        <w:i/>
        <w:noProof/>
        <w:sz w:val="20"/>
        <w:szCs w:val="20"/>
      </w:rPr>
      <w:drawing>
        <wp:inline distT="0" distB="0" distL="0" distR="0" wp14:anchorId="556B133E" wp14:editId="07CE13AF">
          <wp:extent cx="1647825" cy="705116"/>
          <wp:effectExtent l="0" t="0" r="0" b="0"/>
          <wp:docPr id="5" name="Picture 5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805" cy="71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BFD" w:rsidRPr="00EC5E75" w:rsidRDefault="00400BFD" w:rsidP="00EC5E75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rPr>
        <w:rFonts w:ascii="Times New Roman" w:eastAsia="Times New Roman" w:hAnsi="Times New Roman"/>
        <w:b/>
        <w:iCs/>
        <w:sz w:val="18"/>
        <w:szCs w:val="18"/>
      </w:rPr>
    </w:pPr>
    <w:r w:rsidRPr="00EC5E75">
      <w:rPr>
        <w:rFonts w:ascii="Times New Roman" w:eastAsia="Times New Roman" w:hAnsi="Times New Roman"/>
        <w:b/>
        <w:iCs/>
        <w:sz w:val="18"/>
        <w:szCs w:val="18"/>
      </w:rPr>
      <w:t>Европейски земеделски фонд за развитие на селските райони – Европа инвестира в селските райони</w:t>
    </w:r>
  </w:p>
  <w:p w:rsidR="00400BFD" w:rsidRPr="00400BFD" w:rsidRDefault="00400BFD" w:rsidP="00400BFD">
    <w:pPr>
      <w:widowControl w:val="0"/>
      <w:tabs>
        <w:tab w:val="center" w:pos="4703"/>
        <w:tab w:val="right" w:pos="9406"/>
      </w:tabs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/>
        <w:b/>
        <w:sz w:val="20"/>
        <w:szCs w:val="20"/>
        <w:lang w:val="ru-RU"/>
      </w:rPr>
    </w:pPr>
    <w:r w:rsidRPr="00400BFD">
      <w:rPr>
        <w:rFonts w:ascii="Times New Roman" w:eastAsia="Times New Roman" w:hAnsi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400BFD" w:rsidRDefault="00400B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5A"/>
    <w:rsid w:val="00066D62"/>
    <w:rsid w:val="00163854"/>
    <w:rsid w:val="0023535A"/>
    <w:rsid w:val="00272D17"/>
    <w:rsid w:val="00291800"/>
    <w:rsid w:val="002C7F4A"/>
    <w:rsid w:val="0034064D"/>
    <w:rsid w:val="00372211"/>
    <w:rsid w:val="00400BFD"/>
    <w:rsid w:val="005716A6"/>
    <w:rsid w:val="0060185A"/>
    <w:rsid w:val="00726612"/>
    <w:rsid w:val="008126DA"/>
    <w:rsid w:val="009C7147"/>
    <w:rsid w:val="00A32463"/>
    <w:rsid w:val="00DC16FF"/>
    <w:rsid w:val="00E26C7D"/>
    <w:rsid w:val="00E73D60"/>
    <w:rsid w:val="00EC5E75"/>
    <w:rsid w:val="00F63546"/>
    <w:rsid w:val="00FA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A9CEC-C995-4480-AB19-BA091188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35A"/>
    <w:pPr>
      <w:spacing w:after="200" w:line="276" w:lineRule="auto"/>
      <w:jc w:val="left"/>
    </w:pPr>
    <w:rPr>
      <w:rFonts w:asciiTheme="minorHAnsi" w:eastAsiaTheme="minorEastAsia" w:hAnsiTheme="minorHAnsi"/>
      <w:sz w:val="22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126D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2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6DA"/>
    <w:rPr>
      <w:rFonts w:ascii="Tahoma" w:eastAsiaTheme="minorEastAsia" w:hAnsi="Tahoma" w:cs="Tahoma"/>
      <w:sz w:val="16"/>
      <w:szCs w:val="16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400BF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BFD"/>
    <w:rPr>
      <w:rFonts w:asciiTheme="minorHAnsi" w:eastAsiaTheme="minorEastAsia" w:hAnsiTheme="minorHAnsi"/>
      <w:sz w:val="22"/>
      <w:szCs w:val="22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400BF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BFD"/>
    <w:rPr>
      <w:rFonts w:asciiTheme="minorHAnsi" w:eastAsiaTheme="minorEastAsia" w:hAnsiTheme="minorHAnsi"/>
      <w:sz w:val="22"/>
      <w:szCs w:val="22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1961</Words>
  <Characters>11179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Nik</Company>
  <LinksUpToDate>false</LinksUpToDate>
  <CharactersWithSpaces>13114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MIG Prespa</cp:lastModifiedBy>
  <cp:revision>9</cp:revision>
  <dcterms:created xsi:type="dcterms:W3CDTF">2018-02-17T17:10:00Z</dcterms:created>
  <dcterms:modified xsi:type="dcterms:W3CDTF">2022-06-21T08:48:00Z</dcterms:modified>
</cp:coreProperties>
</file>