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452" w:rsidRDefault="003D2452" w:rsidP="003D2452">
      <w:pPr>
        <w:tabs>
          <w:tab w:val="right" w:pos="10064"/>
        </w:tabs>
        <w:spacing w:line="276" w:lineRule="auto"/>
        <w:rPr>
          <w:i/>
          <w:noProof/>
        </w:rPr>
      </w:pPr>
      <w:r w:rsidRPr="009B4C28">
        <w:rPr>
          <w:noProof/>
          <w:lang w:val="bg-BG" w:eastAsia="bg-BG"/>
        </w:rPr>
        <w:drawing>
          <wp:inline distT="0" distB="0" distL="0" distR="0">
            <wp:extent cx="895350" cy="542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Pr="009B4C28">
        <w:rPr>
          <w:noProof/>
          <w:lang w:val="bg-BG" w:eastAsia="bg-BG"/>
        </w:rPr>
        <w:drawing>
          <wp:inline distT="0" distB="0" distL="0" distR="0">
            <wp:extent cx="990600" cy="514350"/>
            <wp:effectExtent l="0" t="0" r="0" b="0"/>
            <wp:docPr id="3" name="Picture 3" descr="лого–мз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лого–мз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 xml:space="preserve">          </w:t>
      </w:r>
      <w:r w:rsidRPr="001D05A2">
        <w:rPr>
          <w:i/>
          <w:noProof/>
          <w:lang w:val="bg-BG" w:eastAsia="bg-BG"/>
        </w:rPr>
        <w:drawing>
          <wp:inline distT="0" distB="0" distL="0" distR="0">
            <wp:extent cx="876300" cy="542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val="en-US" w:eastAsia="bg-BG"/>
        </w:rPr>
        <w:t xml:space="preserve">       </w:t>
      </w:r>
      <w:r w:rsidRPr="001D05A2">
        <w:rPr>
          <w:i/>
          <w:noProof/>
          <w:lang w:val="bg-BG" w:eastAsia="bg-BG"/>
        </w:rPr>
        <w:drawing>
          <wp:inline distT="0" distB="0" distL="0" distR="0">
            <wp:extent cx="1847850" cy="600075"/>
            <wp:effectExtent l="0" t="0" r="0" b="9525"/>
            <wp:docPr id="1" name="Picture 1" descr="logo PRSR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4" descr="logo PRSR2014-20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ab/>
      </w:r>
    </w:p>
    <w:p w:rsidR="003D2452" w:rsidRPr="003751A3" w:rsidRDefault="003D2452" w:rsidP="003D2452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3751A3">
        <w:rPr>
          <w:rFonts w:ascii="Times New Roman" w:hAnsi="Times New Roman"/>
          <w:sz w:val="20"/>
          <w:szCs w:val="20"/>
        </w:rPr>
        <w:t>Европейски земеделски фонд за развитие на селските райони – Европа инвестира в селските райони</w:t>
      </w:r>
    </w:p>
    <w:p w:rsidR="003D2452" w:rsidRPr="003751A3" w:rsidRDefault="003D2452" w:rsidP="003D2452">
      <w:pPr>
        <w:pStyle w:val="NoSpacing"/>
        <w:jc w:val="center"/>
        <w:rPr>
          <w:rFonts w:ascii="Times New Roman" w:hAnsi="Times New Roman"/>
          <w:color w:val="808080"/>
          <w:sz w:val="20"/>
          <w:szCs w:val="20"/>
        </w:rPr>
      </w:pPr>
      <w:r w:rsidRPr="003751A3">
        <w:rPr>
          <w:rFonts w:ascii="Times New Roman" w:hAnsi="Times New Roman"/>
          <w:sz w:val="20"/>
          <w:szCs w:val="20"/>
        </w:rPr>
        <w:t>ПРОГРАМА ЗА РАЗВИТИЕ НА СЕЛСКИТЕ РАЙОНИ   2014 – 2020 г.</w:t>
      </w:r>
    </w:p>
    <w:p w:rsidR="003D2452" w:rsidRDefault="003D2452" w:rsidP="003D2452">
      <w:pPr>
        <w:pStyle w:val="Titlefront"/>
        <w:spacing w:before="0" w:line="276" w:lineRule="auto"/>
        <w:ind w:right="244"/>
        <w:jc w:val="both"/>
        <w:rPr>
          <w:b w:val="0"/>
          <w:color w:val="C00000"/>
          <w:sz w:val="24"/>
          <w:szCs w:val="24"/>
          <w:lang w:val="bg-BG"/>
        </w:rPr>
      </w:pPr>
    </w:p>
    <w:p w:rsidR="003D2452" w:rsidRDefault="003D2452" w:rsidP="003D2452">
      <w:pPr>
        <w:pStyle w:val="Titlefront"/>
        <w:spacing w:before="0" w:line="276" w:lineRule="auto"/>
        <w:ind w:right="244"/>
        <w:jc w:val="both"/>
        <w:rPr>
          <w:b w:val="0"/>
          <w:color w:val="C00000"/>
          <w:sz w:val="24"/>
          <w:szCs w:val="24"/>
          <w:lang w:val="bg-BG"/>
        </w:rPr>
      </w:pPr>
    </w:p>
    <w:p w:rsidR="003D2452" w:rsidRPr="00E52EBF" w:rsidRDefault="003D2452" w:rsidP="00615D0A">
      <w:pPr>
        <w:spacing w:line="276" w:lineRule="auto"/>
        <w:ind w:firstLine="708"/>
        <w:jc w:val="center"/>
        <w:rPr>
          <w:b/>
          <w:highlight w:val="yellow"/>
          <w:u w:val="single"/>
          <w:lang w:val="bg-BG"/>
        </w:rPr>
      </w:pPr>
      <w:r w:rsidRPr="00C145C0">
        <w:rPr>
          <w:b/>
        </w:rPr>
        <w:t xml:space="preserve">СПИСЪК НА ПРЕДЛОЖЕНИТЕ ЗА ФИНАНСИРАНЕ ПРОЕКТНИ ПРЕДЛОЖЕНИЯ, ПОДРЕДЕНИ ПО </w:t>
      </w:r>
      <w:r w:rsidRPr="00AD3782">
        <w:rPr>
          <w:b/>
        </w:rPr>
        <w:t xml:space="preserve">“ПРИОРИТЕТЕН КРИТЕРИЙ ПРИ РАВЕН БРОЙ ТОЧКИ </w:t>
      </w:r>
      <w:r>
        <w:rPr>
          <w:b/>
          <w:lang w:val="bg-BG"/>
        </w:rPr>
        <w:t>„</w:t>
      </w:r>
      <w:r w:rsidRPr="00AD3782">
        <w:rPr>
          <w:b/>
          <w:u w:val="single"/>
        </w:rPr>
        <w:t>РАЗК</w:t>
      </w:r>
      <w:r>
        <w:rPr>
          <w:b/>
          <w:u w:val="single"/>
        </w:rPr>
        <w:t>РИВАНЕТО НА БРОЙ РАБОТНИ МЕСТА“</w:t>
      </w:r>
      <w:r>
        <w:rPr>
          <w:b/>
          <w:u w:val="single"/>
          <w:lang w:val="bg-BG"/>
        </w:rPr>
        <w:t xml:space="preserve"> </w:t>
      </w:r>
      <w:r w:rsidRPr="00C145C0">
        <w:rPr>
          <w:b/>
        </w:rPr>
        <w:t>ПО ПРОЦЕДУРА № BG06RDNP001-19.</w:t>
      </w:r>
      <w:r w:rsidRPr="00C145C0">
        <w:rPr>
          <w:b/>
          <w:lang w:val="en-US"/>
        </w:rPr>
        <w:t xml:space="preserve">206- </w:t>
      </w:r>
      <w:r w:rsidRPr="00C145C0">
        <w:rPr>
          <w:b/>
        </w:rPr>
        <w:t xml:space="preserve">МИГ </w:t>
      </w:r>
      <w:proofErr w:type="spellStart"/>
      <w:r w:rsidRPr="00C145C0">
        <w:rPr>
          <w:b/>
        </w:rPr>
        <w:t>Преспа</w:t>
      </w:r>
      <w:proofErr w:type="spellEnd"/>
      <w:r w:rsidRPr="00C145C0">
        <w:rPr>
          <w:b/>
        </w:rPr>
        <w:t xml:space="preserve">- </w:t>
      </w:r>
      <w:proofErr w:type="spellStart"/>
      <w:r w:rsidRPr="00C145C0">
        <w:rPr>
          <w:b/>
          <w:shd w:val="clear" w:color="auto" w:fill="FFFFFF"/>
        </w:rPr>
        <w:t>мярка</w:t>
      </w:r>
      <w:proofErr w:type="spellEnd"/>
      <w:r w:rsidRPr="00C145C0">
        <w:rPr>
          <w:b/>
          <w:shd w:val="clear" w:color="auto" w:fill="FFFFFF"/>
        </w:rPr>
        <w:t xml:space="preserve"> 6.4.1 „</w:t>
      </w:r>
      <w:proofErr w:type="spellStart"/>
      <w:r w:rsidRPr="00C145C0">
        <w:rPr>
          <w:b/>
          <w:shd w:val="clear" w:color="auto" w:fill="FFFFFF"/>
        </w:rPr>
        <w:t>Инвестиции</w:t>
      </w:r>
      <w:proofErr w:type="spellEnd"/>
      <w:r w:rsidRPr="00C145C0">
        <w:rPr>
          <w:b/>
          <w:shd w:val="clear" w:color="auto" w:fill="FFFFFF"/>
        </w:rPr>
        <w:t xml:space="preserve"> в </w:t>
      </w:r>
      <w:proofErr w:type="spellStart"/>
      <w:r w:rsidRPr="00C145C0">
        <w:rPr>
          <w:b/>
          <w:shd w:val="clear" w:color="auto" w:fill="FFFFFF"/>
        </w:rPr>
        <w:t>подкрепа</w:t>
      </w:r>
      <w:proofErr w:type="spellEnd"/>
      <w:r w:rsidRPr="00C145C0">
        <w:rPr>
          <w:b/>
          <w:shd w:val="clear" w:color="auto" w:fill="FFFFFF"/>
        </w:rPr>
        <w:t xml:space="preserve"> </w:t>
      </w:r>
      <w:proofErr w:type="spellStart"/>
      <w:r w:rsidRPr="00C145C0">
        <w:rPr>
          <w:b/>
          <w:shd w:val="clear" w:color="auto" w:fill="FFFFFF"/>
        </w:rPr>
        <w:t>на</w:t>
      </w:r>
      <w:proofErr w:type="spellEnd"/>
      <w:r w:rsidRPr="00C145C0">
        <w:rPr>
          <w:b/>
          <w:shd w:val="clear" w:color="auto" w:fill="FFFFFF"/>
        </w:rPr>
        <w:t xml:space="preserve"> </w:t>
      </w:r>
      <w:proofErr w:type="spellStart"/>
      <w:r w:rsidRPr="00C145C0">
        <w:rPr>
          <w:b/>
          <w:shd w:val="clear" w:color="auto" w:fill="FFFFFF"/>
        </w:rPr>
        <w:t>неземеделски</w:t>
      </w:r>
      <w:proofErr w:type="spellEnd"/>
      <w:r w:rsidRPr="00C145C0">
        <w:rPr>
          <w:b/>
          <w:shd w:val="clear" w:color="auto" w:fill="FFFFFF"/>
        </w:rPr>
        <w:t xml:space="preserve"> </w:t>
      </w:r>
      <w:proofErr w:type="spellStart"/>
      <w:r w:rsidRPr="00C145C0">
        <w:rPr>
          <w:b/>
          <w:shd w:val="clear" w:color="auto" w:fill="FFFFFF"/>
        </w:rPr>
        <w:t>дейности</w:t>
      </w:r>
      <w:proofErr w:type="spellEnd"/>
      <w:r w:rsidRPr="00C145C0">
        <w:rPr>
          <w:b/>
          <w:shd w:val="clear" w:color="auto" w:fill="FFFFFF"/>
        </w:rPr>
        <w:t>”</w:t>
      </w:r>
      <w:r w:rsidR="00E52EBF">
        <w:rPr>
          <w:b/>
          <w:shd w:val="clear" w:color="auto" w:fill="FFFFFF"/>
          <w:lang w:val="bg-BG"/>
        </w:rPr>
        <w:t xml:space="preserve"> </w:t>
      </w:r>
      <w:bookmarkStart w:id="0" w:name="_GoBack"/>
      <w:r w:rsidR="00E52EBF">
        <w:rPr>
          <w:b/>
          <w:shd w:val="clear" w:color="auto" w:fill="FFFFFF"/>
          <w:lang w:val="bg-BG"/>
        </w:rPr>
        <w:t>след оттегляне на проектно предложение от бенефициент</w:t>
      </w:r>
      <w:bookmarkEnd w:id="0"/>
    </w:p>
    <w:p w:rsidR="003D2452" w:rsidRDefault="003D2452" w:rsidP="003D2452">
      <w:pPr>
        <w:spacing w:line="276" w:lineRule="auto"/>
        <w:rPr>
          <w:lang w:val="bg-BG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2127"/>
        <w:gridCol w:w="1275"/>
        <w:gridCol w:w="1560"/>
        <w:gridCol w:w="1559"/>
        <w:gridCol w:w="1417"/>
        <w:gridCol w:w="993"/>
      </w:tblGrid>
      <w:tr w:rsidR="003D2452" w:rsidRPr="00C26F79" w:rsidTr="001E711A">
        <w:tc>
          <w:tcPr>
            <w:tcW w:w="1276" w:type="dxa"/>
            <w:shd w:val="clear" w:color="auto" w:fill="FFFFFF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Номер в</w:t>
            </w:r>
          </w:p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Класирането</w:t>
            </w:r>
          </w:p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по точки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Проектно предложение №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Кандидат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Безвъзмедна финансова помощ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Съфинансиране от кандидатите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proofErr w:type="spellStart"/>
            <w:r w:rsidRPr="00C26F79">
              <w:rPr>
                <w:rStyle w:val="Strong"/>
                <w:rFonts w:ascii="Roboto" w:hAnsi="Roboto"/>
                <w:sz w:val="20"/>
                <w:szCs w:val="20"/>
                <w:shd w:val="clear" w:color="auto" w:fill="FFFFFF"/>
              </w:rPr>
              <w:t>Обща</w:t>
            </w:r>
            <w:proofErr w:type="spellEnd"/>
            <w:r w:rsidRPr="00C26F79">
              <w:rPr>
                <w:rStyle w:val="Strong"/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26F79">
              <w:rPr>
                <w:rStyle w:val="Strong"/>
                <w:rFonts w:ascii="Roboto" w:hAnsi="Roboto"/>
                <w:sz w:val="20"/>
                <w:szCs w:val="20"/>
                <w:shd w:val="clear" w:color="auto" w:fill="FFFFFF"/>
              </w:rPr>
              <w:t>стойност</w:t>
            </w:r>
            <w:proofErr w:type="spellEnd"/>
            <w:r w:rsidRPr="00C26F79">
              <w:rPr>
                <w:rStyle w:val="Strong"/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26F79">
              <w:rPr>
                <w:rStyle w:val="Strong"/>
                <w:rFonts w:ascii="Roboto" w:hAnsi="Roboto"/>
                <w:sz w:val="20"/>
                <w:szCs w:val="20"/>
                <w:shd w:val="clear" w:color="auto" w:fill="FFFFFF"/>
              </w:rPr>
              <w:t>на</w:t>
            </w:r>
            <w:proofErr w:type="spellEnd"/>
            <w:r w:rsidRPr="00C26F79">
              <w:rPr>
                <w:rStyle w:val="Strong"/>
                <w:rFonts w:ascii="Roboto" w:hAnsi="Roboto"/>
                <w:sz w:val="20"/>
                <w:szCs w:val="20"/>
                <w:shd w:val="clear" w:color="auto" w:fill="FFFFFF"/>
              </w:rPr>
              <w:t xml:space="preserve"> </w:t>
            </w:r>
            <w:r w:rsidRPr="00C26F79">
              <w:rPr>
                <w:rStyle w:val="Strong"/>
                <w:rFonts w:ascii="Roboto" w:hAnsi="Roboto"/>
                <w:sz w:val="20"/>
                <w:szCs w:val="20"/>
                <w:shd w:val="clear" w:color="auto" w:fill="FFFFFF"/>
                <w:lang w:val="bg-BG"/>
              </w:rPr>
              <w:t>ПП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C26F79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Обща оценка</w:t>
            </w:r>
          </w:p>
        </w:tc>
      </w:tr>
      <w:tr w:rsidR="003D2452" w:rsidRPr="00C26F79" w:rsidTr="001E711A">
        <w:tc>
          <w:tcPr>
            <w:tcW w:w="1276" w:type="dxa"/>
            <w:vAlign w:val="center"/>
          </w:tcPr>
          <w:p w:rsidR="003D2452" w:rsidRPr="00C26F79" w:rsidRDefault="00615D0A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lang w:val="bg-BG" w:eastAsia="ar-SA"/>
              </w:rPr>
            </w:pPr>
            <w:r>
              <w:rPr>
                <w:rFonts w:eastAsia="Calibri"/>
                <w:bCs/>
                <w:lang w:val="bg-BG" w:eastAsia="ar-SA"/>
              </w:rPr>
              <w:t>1</w:t>
            </w:r>
          </w:p>
        </w:tc>
        <w:tc>
          <w:tcPr>
            <w:tcW w:w="2127" w:type="dxa"/>
          </w:tcPr>
          <w:p w:rsidR="003D2452" w:rsidRPr="00C26F79" w:rsidRDefault="003D2452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C26F79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BG06RDNP001-19.206-0008</w:t>
            </w:r>
          </w:p>
          <w:p w:rsidR="003D2452" w:rsidRPr="00C26F79" w:rsidRDefault="003D2452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C26F79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Разнообразяване услугите на СТМ  "Труд и безопасност" ЕООД</w:t>
            </w:r>
          </w:p>
        </w:tc>
        <w:tc>
          <w:tcPr>
            <w:tcW w:w="1275" w:type="dxa"/>
          </w:tcPr>
          <w:p w:rsidR="003D2452" w:rsidRPr="00C26F79" w:rsidRDefault="003D2452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C26F79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ТРУД И БЕЗОПАСНОСТ ЕООД</w:t>
            </w:r>
          </w:p>
          <w:p w:rsidR="003D2452" w:rsidRPr="00C26F79" w:rsidRDefault="003D2452" w:rsidP="001E711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C26F79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ЕИК:</w:t>
            </w:r>
            <w:r w:rsidRPr="00C26F7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C26F79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202664938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eastAsia="Calibri"/>
                <w:bCs/>
                <w:lang w:val="bg-BG" w:eastAsia="ar-SA"/>
              </w:rPr>
            </w:pPr>
            <w:r>
              <w:rPr>
                <w:rFonts w:ascii="Roboto" w:hAnsi="Roboto"/>
                <w:color w:val="333333"/>
                <w:sz w:val="23"/>
                <w:szCs w:val="23"/>
                <w:shd w:val="clear" w:color="auto" w:fill="FFFFFF"/>
              </w:rPr>
              <w:t>142 500.00</w:t>
            </w:r>
          </w:p>
        </w:tc>
        <w:tc>
          <w:tcPr>
            <w:tcW w:w="1559" w:type="dxa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bCs/>
                <w:shd w:val="clear" w:color="auto" w:fill="FFFFFF"/>
                <w:lang w:val="bg-BG"/>
              </w:rPr>
            </w:pPr>
            <w:r>
              <w:rPr>
                <w:rFonts w:ascii="Roboto" w:hAnsi="Roboto"/>
                <w:color w:val="333333"/>
                <w:sz w:val="23"/>
                <w:szCs w:val="23"/>
                <w:shd w:val="clear" w:color="auto" w:fill="FFFFFF"/>
              </w:rPr>
              <w:t>47 500.00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hd w:val="clear" w:color="auto" w:fill="FFFFFF"/>
                <w:lang w:val="bg-BG"/>
              </w:rPr>
            </w:pPr>
            <w:r>
              <w:rPr>
                <w:rFonts w:ascii="Roboto" w:hAnsi="Roboto"/>
                <w:color w:val="333333"/>
                <w:sz w:val="23"/>
                <w:szCs w:val="23"/>
                <w:shd w:val="clear" w:color="auto" w:fill="FFFFFF"/>
              </w:rPr>
              <w:t>190 000.00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3D2452" w:rsidRPr="00C26F79" w:rsidRDefault="003D2452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hd w:val="clear" w:color="auto" w:fill="FFFFFF"/>
                <w:lang w:val="bg-BG"/>
              </w:rPr>
            </w:pPr>
            <w:r>
              <w:rPr>
                <w:shd w:val="clear" w:color="auto" w:fill="FFFFFF"/>
                <w:lang w:val="bg-BG"/>
              </w:rPr>
              <w:t>35</w:t>
            </w:r>
            <w:r w:rsidRPr="00C26F79">
              <w:rPr>
                <w:shd w:val="clear" w:color="auto" w:fill="FFFFFF"/>
                <w:lang w:val="bg-BG"/>
              </w:rPr>
              <w:t xml:space="preserve"> т.</w:t>
            </w:r>
          </w:p>
        </w:tc>
      </w:tr>
      <w:tr w:rsidR="00615D0A" w:rsidRPr="00C26F79" w:rsidTr="001E711A">
        <w:tc>
          <w:tcPr>
            <w:tcW w:w="1276" w:type="dxa"/>
            <w:vAlign w:val="center"/>
          </w:tcPr>
          <w:p w:rsidR="00615D0A" w:rsidRPr="00615D0A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lang w:val="bg-BG" w:eastAsia="ar-SA"/>
              </w:rPr>
            </w:pPr>
            <w:r>
              <w:rPr>
                <w:rFonts w:eastAsia="Calibri"/>
                <w:bCs/>
                <w:lang w:val="bg-BG" w:eastAsia="ar-SA"/>
              </w:rPr>
              <w:t>2</w:t>
            </w:r>
          </w:p>
        </w:tc>
        <w:tc>
          <w:tcPr>
            <w:tcW w:w="2127" w:type="dxa"/>
          </w:tcPr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BG06RDNP001-19.206-0009</w:t>
            </w:r>
          </w:p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Инвестиции в оборудване за строителна фирма "БВР Груп" ЕООД</w:t>
            </w:r>
          </w:p>
        </w:tc>
        <w:tc>
          <w:tcPr>
            <w:tcW w:w="1275" w:type="dxa"/>
          </w:tcPr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„БВР Груп“ ЕООД</w:t>
            </w:r>
          </w:p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ЕИК:</w:t>
            </w:r>
            <w:r w:rsidRPr="005635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205973338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bg-BG" w:eastAsia="ar-SA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211 166.93</w:t>
            </w:r>
          </w:p>
        </w:tc>
        <w:tc>
          <w:tcPr>
            <w:tcW w:w="1559" w:type="dxa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bCs/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70 388.99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281 555.92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sz w:val="20"/>
                <w:szCs w:val="20"/>
                <w:shd w:val="clear" w:color="auto" w:fill="FFFFFF"/>
                <w:lang w:val="bg-BG"/>
              </w:rPr>
              <w:t>25 т.</w:t>
            </w:r>
          </w:p>
        </w:tc>
      </w:tr>
      <w:tr w:rsidR="00615D0A" w:rsidRPr="00C26F79" w:rsidTr="001E711A">
        <w:tc>
          <w:tcPr>
            <w:tcW w:w="1276" w:type="dxa"/>
            <w:vAlign w:val="center"/>
          </w:tcPr>
          <w:p w:rsidR="00615D0A" w:rsidRPr="00615D0A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lang w:val="en-US" w:eastAsia="ar-SA"/>
              </w:rPr>
            </w:pPr>
            <w:r>
              <w:rPr>
                <w:rFonts w:eastAsia="Calibri"/>
                <w:bCs/>
                <w:lang w:val="en-US" w:eastAsia="ar-SA"/>
              </w:rPr>
              <w:t>3</w:t>
            </w:r>
          </w:p>
        </w:tc>
        <w:tc>
          <w:tcPr>
            <w:tcW w:w="2127" w:type="dxa"/>
          </w:tcPr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BG06RDNP001-19.206-0003</w:t>
            </w:r>
          </w:p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"Закупуване на оборудване  за развитие на здравни услуги в Медицински Център в гр. Чепеларе, община Чепеларе , област Смолян "</w:t>
            </w:r>
          </w:p>
        </w:tc>
        <w:tc>
          <w:tcPr>
            <w:tcW w:w="1275" w:type="dxa"/>
          </w:tcPr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"Медицински Център Канеа" ООД</w:t>
            </w:r>
          </w:p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ЕИК:</w:t>
            </w:r>
            <w:r w:rsidRPr="005635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6358F"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  <w:t>205858599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bg-BG" w:eastAsia="ar-SA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90 682.50</w:t>
            </w:r>
          </w:p>
        </w:tc>
        <w:tc>
          <w:tcPr>
            <w:tcW w:w="1559" w:type="dxa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bCs/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30 227.50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120 910.00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sz w:val="20"/>
                <w:szCs w:val="20"/>
                <w:shd w:val="clear" w:color="auto" w:fill="FFFFFF"/>
                <w:lang w:val="bg-BG"/>
              </w:rPr>
              <w:t>25 т.</w:t>
            </w:r>
          </w:p>
        </w:tc>
      </w:tr>
      <w:tr w:rsidR="00615D0A" w:rsidRPr="00C26F79" w:rsidTr="001E711A">
        <w:tc>
          <w:tcPr>
            <w:tcW w:w="1276" w:type="dxa"/>
            <w:vAlign w:val="center"/>
          </w:tcPr>
          <w:p w:rsidR="00615D0A" w:rsidRPr="00615D0A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lang w:val="bg-BG" w:eastAsia="ar-SA"/>
              </w:rPr>
            </w:pPr>
            <w:r>
              <w:rPr>
                <w:rFonts w:eastAsia="Calibri"/>
                <w:bCs/>
                <w:lang w:val="bg-BG" w:eastAsia="ar-SA"/>
              </w:rPr>
              <w:t>5</w:t>
            </w:r>
          </w:p>
        </w:tc>
        <w:tc>
          <w:tcPr>
            <w:tcW w:w="2127" w:type="dxa"/>
          </w:tcPr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BG06RDNP001-19.206-0001</w:t>
            </w:r>
          </w:p>
          <w:p w:rsidR="00615D0A" w:rsidRPr="00D1708B" w:rsidRDefault="00615D0A" w:rsidP="00615D0A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56358F">
              <w:rPr>
                <w:rFonts w:ascii="Times New Roman" w:eastAsia="Calibri" w:hAnsi="Times New Roman"/>
                <w:sz w:val="20"/>
                <w:szCs w:val="20"/>
              </w:rPr>
              <w:t>"</w:t>
            </w:r>
            <w:r w:rsidRPr="0056358F">
              <w:rPr>
                <w:rFonts w:ascii="Times New Roman" w:hAnsi="Times New Roman"/>
                <w:sz w:val="20"/>
                <w:szCs w:val="20"/>
              </w:rPr>
              <w:t xml:space="preserve">Обновяване на съществуваща хибридна влакнесто-оптична и коаксиална разпределителна система за пренос на данни, радио и телевизионни и </w:t>
            </w:r>
            <w:r w:rsidRPr="0056358F">
              <w:rPr>
                <w:rFonts w:ascii="Times New Roman" w:hAnsi="Times New Roman"/>
                <w:sz w:val="20"/>
                <w:szCs w:val="20"/>
              </w:rPr>
              <w:lastRenderedPageBreak/>
              <w:t>мултимедийни интерактивни сигнали, чрез    доставка и монтаж на  иновативна оптична ПОН мрежа от но</w:t>
            </w:r>
            <w:r>
              <w:rPr>
                <w:rFonts w:ascii="Times New Roman" w:hAnsi="Times New Roman"/>
                <w:sz w:val="20"/>
                <w:szCs w:val="20"/>
              </w:rPr>
              <w:t>во поколение  в гр. Чепеларе.“</w:t>
            </w:r>
          </w:p>
        </w:tc>
        <w:tc>
          <w:tcPr>
            <w:tcW w:w="1275" w:type="dxa"/>
          </w:tcPr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АСТРА ЕООД</w:t>
            </w:r>
          </w:p>
          <w:p w:rsidR="00615D0A" w:rsidRPr="0056358F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  <w:r w:rsidRPr="0056358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ЕИК: </w:t>
            </w:r>
            <w:r w:rsidRPr="0056358F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56358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120500551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bg-BG" w:eastAsia="ar-SA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154 596.38</w:t>
            </w:r>
          </w:p>
        </w:tc>
        <w:tc>
          <w:tcPr>
            <w:tcW w:w="1559" w:type="dxa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bCs/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51 532.12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rFonts w:ascii="Roboto" w:hAnsi="Roboto"/>
                <w:sz w:val="20"/>
                <w:szCs w:val="20"/>
                <w:shd w:val="clear" w:color="auto" w:fill="FFFFFF"/>
              </w:rPr>
              <w:t>206 128.50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15D0A" w:rsidRPr="0056358F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z w:val="20"/>
                <w:szCs w:val="20"/>
                <w:shd w:val="clear" w:color="auto" w:fill="FFFFFF"/>
                <w:lang w:val="bg-BG"/>
              </w:rPr>
            </w:pPr>
            <w:r w:rsidRPr="0056358F">
              <w:rPr>
                <w:sz w:val="20"/>
                <w:szCs w:val="20"/>
                <w:shd w:val="clear" w:color="auto" w:fill="FFFFFF"/>
                <w:lang w:val="bg-BG"/>
              </w:rPr>
              <w:t>15т.</w:t>
            </w:r>
          </w:p>
        </w:tc>
      </w:tr>
      <w:tr w:rsidR="00615D0A" w:rsidRPr="00C26F79" w:rsidTr="001E711A">
        <w:tc>
          <w:tcPr>
            <w:tcW w:w="1276" w:type="dxa"/>
            <w:shd w:val="clear" w:color="auto" w:fill="92CDDC"/>
            <w:vAlign w:val="center"/>
          </w:tcPr>
          <w:p w:rsidR="00615D0A" w:rsidRPr="00F81E2E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color w:val="8DB3E2"/>
                <w:highlight w:val="lightGray"/>
                <w:lang w:val="bg-BG" w:eastAsia="ar-SA"/>
              </w:rPr>
            </w:pPr>
          </w:p>
        </w:tc>
        <w:tc>
          <w:tcPr>
            <w:tcW w:w="2127" w:type="dxa"/>
            <w:shd w:val="clear" w:color="auto" w:fill="92CDDC"/>
          </w:tcPr>
          <w:p w:rsidR="00615D0A" w:rsidRPr="00F81E2E" w:rsidRDefault="00615D0A" w:rsidP="00615D0A">
            <w:pPr>
              <w:pStyle w:val="NoSpacing"/>
              <w:spacing w:line="276" w:lineRule="auto"/>
              <w:rPr>
                <w:rFonts w:ascii="Times New Roman" w:hAnsi="Times New Roman"/>
                <w:b/>
                <w:color w:val="8DB3E2"/>
                <w:sz w:val="20"/>
                <w:szCs w:val="20"/>
                <w:highlight w:val="lightGray"/>
                <w:shd w:val="clear" w:color="auto" w:fill="FFFFFF"/>
              </w:rPr>
            </w:pPr>
          </w:p>
        </w:tc>
        <w:tc>
          <w:tcPr>
            <w:tcW w:w="1275" w:type="dxa"/>
            <w:shd w:val="clear" w:color="auto" w:fill="92CDDC"/>
          </w:tcPr>
          <w:p w:rsidR="00615D0A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b/>
                <w:sz w:val="20"/>
                <w:szCs w:val="20"/>
                <w:highlight w:val="lightGray"/>
                <w:shd w:val="clear" w:color="auto" w:fill="FFFFFF"/>
              </w:rPr>
            </w:pPr>
          </w:p>
          <w:p w:rsidR="00615D0A" w:rsidRPr="00F81E2E" w:rsidRDefault="00615D0A" w:rsidP="00615D0A">
            <w:pPr>
              <w:pStyle w:val="NoSpacing"/>
              <w:spacing w:line="276" w:lineRule="auto"/>
              <w:rPr>
                <w:rFonts w:ascii="Times New Roman" w:eastAsia="Calibri" w:hAnsi="Times New Roman"/>
                <w:b/>
                <w:sz w:val="20"/>
                <w:szCs w:val="20"/>
                <w:highlight w:val="lightGray"/>
                <w:shd w:val="clear" w:color="auto" w:fill="FFFFFF"/>
              </w:rPr>
            </w:pPr>
            <w:r w:rsidRPr="00F81E2E">
              <w:rPr>
                <w:rFonts w:ascii="Times New Roman" w:eastAsia="Calibri" w:hAnsi="Times New Roman"/>
                <w:b/>
                <w:sz w:val="20"/>
                <w:szCs w:val="20"/>
                <w:highlight w:val="lightGray"/>
                <w:shd w:val="clear" w:color="auto" w:fill="FFFFFF"/>
              </w:rPr>
              <w:t>ОБЩО</w:t>
            </w:r>
          </w:p>
        </w:tc>
        <w:tc>
          <w:tcPr>
            <w:tcW w:w="1560" w:type="dxa"/>
            <w:shd w:val="clear" w:color="auto" w:fill="92CDDC"/>
            <w:vAlign w:val="center"/>
          </w:tcPr>
          <w:p w:rsidR="00615D0A" w:rsidRPr="00615D0A" w:rsidRDefault="00615D0A" w:rsidP="00615D0A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ascii="Roboto" w:hAnsi="Roboto"/>
                <w:sz w:val="23"/>
                <w:szCs w:val="23"/>
                <w:highlight w:val="lightGray"/>
                <w:shd w:val="clear" w:color="auto" w:fill="FFFFFF"/>
                <w:lang w:val="bg-BG"/>
              </w:rPr>
            </w:pPr>
            <w:r>
              <w:rPr>
                <w:rFonts w:ascii="Roboto" w:hAnsi="Roboto"/>
                <w:sz w:val="23"/>
                <w:szCs w:val="23"/>
                <w:highlight w:val="lightGray"/>
                <w:shd w:val="clear" w:color="auto" w:fill="FFFFFF"/>
                <w:lang w:val="en-US"/>
              </w:rPr>
              <w:t>598 945,81</w:t>
            </w:r>
          </w:p>
        </w:tc>
        <w:tc>
          <w:tcPr>
            <w:tcW w:w="1559" w:type="dxa"/>
            <w:shd w:val="clear" w:color="auto" w:fill="92CDDC"/>
            <w:vAlign w:val="center"/>
          </w:tcPr>
          <w:p w:rsidR="00615D0A" w:rsidRPr="00A65C7D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rPr>
                <w:rFonts w:ascii="Roboto" w:hAnsi="Roboto"/>
                <w:sz w:val="23"/>
                <w:szCs w:val="23"/>
                <w:highlight w:val="lightGray"/>
                <w:shd w:val="clear" w:color="auto" w:fill="FFFFFF"/>
                <w:lang w:val="bg-BG"/>
              </w:rPr>
            </w:pPr>
            <w:r>
              <w:rPr>
                <w:rFonts w:ascii="Roboto" w:hAnsi="Roboto"/>
                <w:sz w:val="23"/>
                <w:szCs w:val="23"/>
                <w:highlight w:val="lightGray"/>
                <w:shd w:val="clear" w:color="auto" w:fill="FFFFFF"/>
                <w:lang w:val="bg-BG"/>
              </w:rPr>
              <w:t xml:space="preserve">   199 648,61</w:t>
            </w:r>
          </w:p>
        </w:tc>
        <w:tc>
          <w:tcPr>
            <w:tcW w:w="1417" w:type="dxa"/>
            <w:shd w:val="clear" w:color="auto" w:fill="92CDDC"/>
            <w:vAlign w:val="center"/>
          </w:tcPr>
          <w:p w:rsidR="00615D0A" w:rsidRPr="00555444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ascii="Roboto" w:hAnsi="Roboto"/>
                <w:sz w:val="23"/>
                <w:szCs w:val="23"/>
                <w:highlight w:val="lightGray"/>
                <w:shd w:val="clear" w:color="auto" w:fill="FFFFFF"/>
                <w:lang w:val="bg-BG"/>
              </w:rPr>
            </w:pPr>
            <w:r>
              <w:rPr>
                <w:rFonts w:ascii="Roboto" w:hAnsi="Roboto"/>
                <w:sz w:val="23"/>
                <w:szCs w:val="23"/>
                <w:highlight w:val="lightGray"/>
                <w:shd w:val="clear" w:color="auto" w:fill="FFFFFF"/>
                <w:lang w:val="bg-BG"/>
              </w:rPr>
              <w:t>798 594,42</w:t>
            </w:r>
          </w:p>
        </w:tc>
        <w:tc>
          <w:tcPr>
            <w:tcW w:w="993" w:type="dxa"/>
            <w:shd w:val="clear" w:color="auto" w:fill="92CDDC"/>
            <w:vAlign w:val="center"/>
          </w:tcPr>
          <w:p w:rsidR="00615D0A" w:rsidRPr="00A65C7D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highlight w:val="lightGray"/>
                <w:shd w:val="clear" w:color="auto" w:fill="FFFFFF"/>
                <w:lang w:val="bg-BG"/>
              </w:rPr>
            </w:pPr>
          </w:p>
          <w:p w:rsidR="00615D0A" w:rsidRPr="00A65C7D" w:rsidRDefault="00615D0A" w:rsidP="00615D0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highlight w:val="lightGray"/>
                <w:shd w:val="clear" w:color="auto" w:fill="FFFFFF"/>
                <w:lang w:val="bg-BG"/>
              </w:rPr>
            </w:pPr>
          </w:p>
        </w:tc>
      </w:tr>
    </w:tbl>
    <w:p w:rsidR="00151CF8" w:rsidRDefault="00E52EBF"/>
    <w:sectPr w:rsidR="00151CF8" w:rsidSect="003D24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16B"/>
    <w:rsid w:val="000B1D04"/>
    <w:rsid w:val="00364A46"/>
    <w:rsid w:val="003D2452"/>
    <w:rsid w:val="00615D0A"/>
    <w:rsid w:val="00C8316B"/>
    <w:rsid w:val="00E5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8F4A6-FB9E-45DE-B849-73693B012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front">
    <w:name w:val="Title front"/>
    <w:basedOn w:val="Normal"/>
    <w:rsid w:val="003D2452"/>
    <w:pPr>
      <w:suppressAutoHyphens/>
      <w:overflowPunct w:val="0"/>
      <w:autoSpaceDE w:val="0"/>
      <w:spacing w:before="240"/>
      <w:jc w:val="center"/>
      <w:textAlignment w:val="baseline"/>
    </w:pPr>
    <w:rPr>
      <w:b/>
      <w:sz w:val="28"/>
      <w:szCs w:val="20"/>
      <w:lang w:val="en-US" w:eastAsia="ar-SA"/>
    </w:rPr>
  </w:style>
  <w:style w:type="character" w:styleId="Strong">
    <w:name w:val="Strong"/>
    <w:uiPriority w:val="22"/>
    <w:qFormat/>
    <w:rsid w:val="003D2452"/>
    <w:rPr>
      <w:b/>
      <w:bCs/>
    </w:rPr>
  </w:style>
  <w:style w:type="paragraph" w:styleId="NoSpacing">
    <w:name w:val="No Spacing"/>
    <w:uiPriority w:val="1"/>
    <w:qFormat/>
    <w:rsid w:val="003D2452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</dc:creator>
  <cp:keywords/>
  <dc:description/>
  <cp:lastModifiedBy>MIG Prespa</cp:lastModifiedBy>
  <cp:revision>4</cp:revision>
  <dcterms:created xsi:type="dcterms:W3CDTF">2020-04-07T11:36:00Z</dcterms:created>
  <dcterms:modified xsi:type="dcterms:W3CDTF">2022-05-17T13:24:00Z</dcterms:modified>
</cp:coreProperties>
</file>